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Override ContentType="application/vnd.openxmlformats-officedocument.wordprocessingml.header+xml" PartName="/word/header1.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
    <w:p/>
    <w:p/>
    <w:p/>
    <w:p/>
    <w:p/>
    <w:p/>
    <w:p/>
    <w:p/>
    <w:p/>
    <w:p/>
    <w:p/>
    <w:p/>
    <w:p/>
    <w:p>
      <w:pPr>
        <w:jc w:val="center"/>
      </w:pPr>
      <w:r>
        <w:rPr>
          <w:rFonts w:ascii="Arial" w:cs="Arial" w:eastAsia="Arial" w:hAnsi="Arial"/>
          <w:sz w:val="28"/>
          <w:szCs w:val="28"/>
        </w:rPr>
        <w:t xml:space="preserve">Sesión Plenaria</w:t>
      </w:r>
    </w:p>
    <w:p>
      <w:pPr>
        <w:jc w:val="center"/>
      </w:pPr>
      <w:r>
        <w:rPr>
          <w:rFonts w:ascii="Arial" w:cs="Arial" w:eastAsia="Arial" w:hAnsi="Arial"/>
          <w:sz w:val="28"/>
          <w:szCs w:val="28"/>
        </w:rPr>
        <w:t xml:space="preserve">Ordinaria</w:t>
      </w:r>
    </w:p>
    <w:p/>
    <w:p/>
    <w:p/>
    <w:p/>
    <w:p/>
    <w:p/>
    <w:p/>
    <w:p/>
    <w:p>
      <w:pPr>
        <w:jc w:val="center"/>
      </w:pPr>
      <w:r>
        <w:rPr>
          <w:rFonts w:ascii="Arial" w:cs="Arial" w:eastAsia="Arial" w:hAnsi="Arial"/>
          <w:b/>
          <w:bCs/>
          <w:sz w:val="32"/>
          <w:szCs w:val="32"/>
        </w:rPr>
        <w:t xml:space="preserve">Acta 355</w:t>
      </w:r>
    </w:p>
    <w:p/>
    <w:p/>
    <w:p/>
    <w:p/>
    <w:p/>
    <w:p/>
    <w:p/>
    <w:p/>
    <w:p>
      <w:pPr>
        <w:jc w:val="center"/>
      </w:pPr>
      <w:r>
        <w:rPr>
          <w:rFonts w:ascii="Arial" w:cs="Arial" w:eastAsia="Arial" w:hAnsi="Arial"/>
          <w:sz w:val="24"/>
          <w:szCs w:val="24"/>
        </w:rPr>
        <w:t xml:space="preserve">16 de noviembre de 2025</w:t>
      </w:r>
    </w:p>
    <w:p>
      <w:r>
        <w:br w:type="page"/>
      </w:r>
    </w:p>
    <w:p>
      <w:pPr>
        <w:spacing w:before="200" w:after="200"/>
        <w:jc w:val="center"/>
      </w:pPr>
      <w:r>
        <w:drawing>
          <wp:inline distT="0" distB="0" distL="0" distR="0">
            <wp:extent cx="4286250" cy="4638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286250" cy="463867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Sesión Plenaria</w:t>
      </w:r>
    </w:p>
    <w:p>
      <w:pPr>
        <w:spacing w:after="240" w:line="360"/>
        <w:jc w:val="both"/>
      </w:pPr>
      <w:r>
        <w:rPr>
          <w:rFonts w:ascii="Arial" w:cs="Arial" w:eastAsia="Arial" w:hAnsi="Arial"/>
          <w:sz w:val="24"/>
          <w:szCs w:val="24"/>
        </w:rPr>
        <w:t xml:space="preserve">Ordinaria</w:t>
      </w:r>
    </w:p>
    <w:p>
      <w:pPr>
        <w:spacing w:after="240" w:line="360"/>
        <w:jc w:val="both"/>
      </w:pPr>
      <w:r>
        <w:rPr>
          <w:rFonts w:ascii="Arial" w:cs="Arial" w:eastAsia="Arial" w:hAnsi="Arial"/>
          <w:sz w:val="24"/>
          <w:szCs w:val="24"/>
        </w:rPr>
        <w:t xml:space="preserve">16 de noviembre de 2025</w:t>
      </w:r>
    </w:p>
    <w:p>
      <w:pPr>
        <w:spacing w:after="240" w:line="360"/>
        <w:jc w:val="both"/>
      </w:pPr>
      <w:r>
        <w:rPr>
          <w:rFonts w:ascii="Arial" w:cs="Arial" w:eastAsia="Arial" w:hAnsi="Arial"/>
          <w:sz w:val="24"/>
          <w:szCs w:val="24"/>
        </w:rPr>
        <w:t xml:space="preserve">Índice</w:t>
      </w:r>
    </w:p>
    <w:p>
      <w:pPr>
        <w:spacing w:after="240" w:line="360"/>
        <w:jc w:val="both"/>
      </w:pPr>
      <w:r>
        <w:rPr>
          <w:rFonts w:ascii="Arial" w:cs="Arial" w:eastAsia="Arial" w:hAnsi="Arial"/>
          <w:sz w:val="24"/>
          <w:szCs w:val="24"/>
        </w:rPr>
        <w:t xml:space="preserve">Asistencia											3</w:t>
      </w:r>
    </w:p>
    <w:p>
      <w:pPr>
        <w:spacing w:after="240" w:line="360"/>
        <w:jc w:val="both"/>
      </w:pPr>
      <w:r>
        <w:rPr>
          <w:rFonts w:ascii="Arial" w:cs="Arial" w:eastAsia="Arial" w:hAnsi="Arial"/>
          <w:sz w:val="24"/>
          <w:szCs w:val="24"/>
        </w:rPr>
        <w:t xml:space="preserve">Orden del día										4</w:t>
      </w:r>
    </w:p>
    <w:p>
      <w:pPr>
        <w:spacing w:after="240" w:line="360"/>
        <w:jc w:val="both"/>
      </w:pPr>
      <w:r>
        <w:rPr>
          <w:rFonts w:ascii="Arial" w:cs="Arial" w:eastAsia="Arial" w:hAnsi="Arial"/>
          <w:sz w:val="24"/>
          <w:szCs w:val="24"/>
        </w:rPr>
        <w:t xml:space="preserve">Aprobación del orden del día							4</w:t>
      </w:r>
    </w:p>
    <w:p>
      <w:pPr>
        <w:spacing w:after="240" w:line="360"/>
        <w:jc w:val="both"/>
      </w:pPr>
      <w:r>
        <w:rPr>
          <w:rFonts w:ascii="Arial" w:cs="Arial" w:eastAsia="Arial" w:hAnsi="Arial"/>
          <w:sz w:val="24"/>
          <w:szCs w:val="24"/>
        </w:rPr>
        <w:t xml:space="preserve">Invitación a funcionarios								4</w:t>
      </w:r>
    </w:p>
    <w:p>
      <w:pPr>
        <w:spacing w:before="600" w:after="300"/>
        <w:jc w:val="center"/>
      </w:pPr>
      <w:r>
        <w:rPr>
          <w:rFonts w:ascii="Arial" w:cs="Arial" w:eastAsia="Arial" w:hAnsi="Arial"/>
          <w:b/>
          <w:bCs/>
          <w:sz w:val="24"/>
          <w:szCs w:val="24"/>
        </w:rPr>
        <w:t xml:space="preserve">SESIÓN PLENARIA ORDINARIA</w:t>
      </w:r>
    </w:p>
    <w:p>
      <w:pPr>
        <w:spacing w:before="600" w:after="300"/>
        <w:jc w:val="center"/>
      </w:pPr>
      <w:r>
        <w:rPr>
          <w:rFonts w:ascii="Arial" w:cs="Arial" w:eastAsia="Arial" w:hAnsi="Arial"/>
          <w:b/>
          <w:bCs/>
          <w:sz w:val="24"/>
          <w:szCs w:val="24"/>
        </w:rPr>
        <w:t xml:space="preserve">ACTA 355</w:t>
      </w:r>
    </w:p>
    <w:p>
      <w:pPr>
        <w:spacing w:after="240" w:line="360"/>
        <w:jc w:val="both"/>
      </w:pPr>
      <w:r>
        <w:rPr>
          <w:rFonts w:ascii="Arial" w:cs="Arial" w:eastAsia="Arial" w:hAnsi="Arial"/>
          <w:sz w:val="24"/>
          <w:szCs w:val="24"/>
        </w:rPr>
        <w:t xml:space="preserve">FECHA:		Medellín, 16 de noviembre de 2025</w:t>
      </w:r>
    </w:p>
    <w:p>
      <w:pPr>
        <w:spacing w:after="240" w:line="360"/>
        <w:jc w:val="both"/>
      </w:pPr>
      <w:r>
        <w:rPr>
          <w:rFonts w:ascii="Arial" w:cs="Arial" w:eastAsia="Arial" w:hAnsi="Arial"/>
          <w:sz w:val="24"/>
          <w:szCs w:val="24"/>
        </w:rPr>
        <w:t xml:space="preserve">HORA:		De las 08:16 a las 09:25 horas</w:t>
      </w:r>
    </w:p>
    <w:p>
      <w:pPr>
        <w:spacing w:after="240" w:line="360"/>
        <w:jc w:val="both"/>
      </w:pPr>
      <w:r>
        <w:rPr>
          <w:rFonts w:ascii="Arial" w:cs="Arial" w:eastAsia="Arial" w:hAnsi="Arial"/>
          <w:sz w:val="24"/>
          <w:szCs w:val="24"/>
        </w:rPr>
        <w:t xml:space="preserve">LUGAR:	Recinto oficial de sesiones</w:t>
      </w:r>
    </w:p>
    <w:p>
      <w:pPr>
        <w:spacing w:after="240" w:line="360"/>
        <w:jc w:val="both"/>
      </w:pPr>
      <w:r>
        <w:rPr>
          <w:rFonts w:ascii="Arial" w:cs="Arial" w:eastAsia="Arial" w:hAnsi="Arial"/>
          <w:sz w:val="24"/>
          <w:szCs w:val="24"/>
        </w:rPr>
        <w:t xml:space="preserve">ASISTENTES:	Sebastián López Valencia</w:t>
      </w:r>
    </w:p>
    <w:p>
      <w:pPr>
        <w:spacing w:after="240" w:line="360"/>
        <w:jc w:val="both"/>
      </w:pPr>
      <w:r>
        <w:rPr>
          <w:rFonts w:ascii="Arial" w:cs="Arial" w:eastAsia="Arial" w:hAnsi="Arial"/>
          <w:sz w:val="24"/>
          <w:szCs w:val="24"/>
        </w:rPr>
        <w:t xml:space="preserve">Santiago Perdomo Montoya</w:t>
      </w:r>
    </w:p>
    <w:p>
      <w:pPr>
        <w:spacing w:after="240" w:line="360"/>
        <w:jc w:val="both"/>
      </w:pPr>
      <w:r>
        <w:rPr>
          <w:rFonts w:ascii="Arial" w:cs="Arial" w:eastAsia="Arial" w:hAnsi="Arial"/>
          <w:sz w:val="24"/>
          <w:szCs w:val="24"/>
        </w:rPr>
        <w:t xml:space="preserve">Carlos Alberto Gutiérrez Bustamante</w:t>
      </w:r>
    </w:p>
    <w:p>
      <w:pPr>
        <w:spacing w:after="240" w:line="360"/>
        <w:jc w:val="both"/>
      </w:pPr>
      <w:r>
        <w:rPr>
          <w:rFonts w:ascii="Arial" w:cs="Arial" w:eastAsia="Arial" w:hAnsi="Arial"/>
          <w:sz w:val="24"/>
          <w:szCs w:val="24"/>
        </w:rPr>
        <w:t xml:space="preserve">Andrés Felipe Tobón Villada</w:t>
      </w:r>
    </w:p>
    <w:p>
      <w:pPr>
        <w:spacing w:after="240" w:line="360"/>
        <w:jc w:val="both"/>
      </w:pPr>
      <w:r>
        <w:rPr>
          <w:rFonts w:ascii="Arial" w:cs="Arial" w:eastAsia="Arial" w:hAnsi="Arial"/>
          <w:sz w:val="24"/>
          <w:szCs w:val="24"/>
        </w:rPr>
        <w:t xml:space="preserve">Alejandro De Bedout Arango</w:t>
      </w:r>
    </w:p>
    <w:p>
      <w:pPr>
        <w:spacing w:after="240" w:line="360"/>
        <w:jc w:val="both"/>
      </w:pPr>
      <w:r>
        <w:rPr>
          <w:rFonts w:ascii="Arial" w:cs="Arial" w:eastAsia="Arial" w:hAnsi="Arial"/>
          <w:sz w:val="24"/>
          <w:szCs w:val="24"/>
        </w:rPr>
        <w:t xml:space="preserve">Juan Carlos de la Cuesta Galvis</w:t>
      </w:r>
    </w:p>
    <w:p>
      <w:pPr>
        <w:spacing w:after="240" w:line="360"/>
        <w:jc w:val="both"/>
      </w:pPr>
      <w:r>
        <w:rPr>
          <w:rFonts w:ascii="Arial" w:cs="Arial" w:eastAsia="Arial" w:hAnsi="Arial"/>
          <w:sz w:val="24"/>
          <w:szCs w:val="24"/>
        </w:rPr>
        <w:t xml:space="preserve">Santiago Narváez Lombana</w:t>
      </w:r>
    </w:p>
    <w:p>
      <w:pPr>
        <w:spacing w:after="240" w:line="360"/>
        <w:jc w:val="both"/>
      </w:pPr>
      <w:r>
        <w:rPr>
          <w:rFonts w:ascii="Arial" w:cs="Arial" w:eastAsia="Arial" w:hAnsi="Arial"/>
          <w:sz w:val="24"/>
          <w:szCs w:val="24"/>
        </w:rPr>
        <w:t xml:space="preserve">Damián Pérez Arroyave</w:t>
      </w:r>
    </w:p>
    <w:p>
      <w:pPr>
        <w:spacing w:after="240" w:line="360"/>
        <w:jc w:val="both"/>
      </w:pPr>
      <w:r>
        <w:rPr>
          <w:rFonts w:ascii="Arial" w:cs="Arial" w:eastAsia="Arial" w:hAnsi="Arial"/>
          <w:sz w:val="24"/>
          <w:szCs w:val="24"/>
        </w:rPr>
        <w:t xml:space="preserve">Camila Gaviria Barreneche</w:t>
      </w:r>
    </w:p>
    <w:p>
      <w:pPr>
        <w:spacing w:after="240" w:line="360"/>
        <w:jc w:val="both"/>
      </w:pPr>
      <w:r>
        <w:rPr>
          <w:rFonts w:ascii="Arial" w:cs="Arial" w:eastAsia="Arial" w:hAnsi="Arial"/>
          <w:sz w:val="24"/>
          <w:szCs w:val="24"/>
        </w:rPr>
        <w:t xml:space="preserve">Janeth Hurtado Betancur</w:t>
      </w:r>
    </w:p>
    <w:p>
      <w:pPr>
        <w:spacing w:after="240" w:line="360"/>
        <w:jc w:val="both"/>
      </w:pPr>
      <w:r>
        <w:rPr>
          <w:rFonts w:ascii="Arial" w:cs="Arial" w:eastAsia="Arial" w:hAnsi="Arial"/>
          <w:sz w:val="24"/>
          <w:szCs w:val="24"/>
        </w:rPr>
        <w:t xml:space="preserve">Farley Jhaír Macías Betancur</w:t>
      </w:r>
    </w:p>
    <w:p>
      <w:pPr>
        <w:spacing w:after="240" w:line="360"/>
        <w:jc w:val="both"/>
      </w:pPr>
      <w:r>
        <w:rPr>
          <w:rFonts w:ascii="Arial" w:cs="Arial" w:eastAsia="Arial" w:hAnsi="Arial"/>
          <w:sz w:val="24"/>
          <w:szCs w:val="24"/>
        </w:rPr>
        <w:t xml:space="preserve">José Luis Marín Mora</w:t>
      </w:r>
    </w:p>
    <w:p>
      <w:pPr>
        <w:spacing w:after="240" w:line="360"/>
        <w:jc w:val="both"/>
      </w:pPr>
      <w:r>
        <w:rPr>
          <w:rFonts w:ascii="Arial" w:cs="Arial" w:eastAsia="Arial" w:hAnsi="Arial"/>
          <w:sz w:val="24"/>
          <w:szCs w:val="24"/>
        </w:rPr>
        <w:t xml:space="preserve">Alejandro Arias García</w:t>
      </w:r>
    </w:p>
    <w:p>
      <w:pPr>
        <w:spacing w:after="240" w:line="360"/>
        <w:jc w:val="both"/>
      </w:pPr>
      <w:r>
        <w:rPr>
          <w:rFonts w:ascii="Arial" w:cs="Arial" w:eastAsia="Arial" w:hAnsi="Arial"/>
          <w:sz w:val="24"/>
          <w:szCs w:val="24"/>
        </w:rPr>
        <w:t xml:space="preserve">Miguel Ángel Iguarán Osorio</w:t>
      </w:r>
    </w:p>
    <w:p>
      <w:pPr>
        <w:spacing w:after="240" w:line="360"/>
        <w:jc w:val="both"/>
      </w:pPr>
      <w:r>
        <w:rPr>
          <w:rFonts w:ascii="Arial" w:cs="Arial" w:eastAsia="Arial" w:hAnsi="Arial"/>
          <w:sz w:val="24"/>
          <w:szCs w:val="24"/>
        </w:rPr>
        <w:t xml:space="preserve">Juan Ramón Jiménez Lara</w:t>
      </w:r>
    </w:p>
    <w:p>
      <w:pPr>
        <w:spacing w:after="240" w:line="360"/>
        <w:jc w:val="both"/>
      </w:pPr>
      <w:r>
        <w:rPr>
          <w:rFonts w:ascii="Arial" w:cs="Arial" w:eastAsia="Arial" w:hAnsi="Arial"/>
          <w:sz w:val="24"/>
          <w:szCs w:val="24"/>
        </w:rPr>
        <w:t xml:space="preserve">Brisvani Alexis Arenas Suaza</w:t>
      </w:r>
    </w:p>
    <w:p>
      <w:pPr>
        <w:spacing w:after="240" w:line="360"/>
        <w:jc w:val="both"/>
      </w:pPr>
      <w:r>
        <w:rPr>
          <w:rFonts w:ascii="Arial" w:cs="Arial" w:eastAsia="Arial" w:hAnsi="Arial"/>
          <w:sz w:val="24"/>
          <w:szCs w:val="24"/>
        </w:rPr>
        <w:t xml:space="preserve">Leticia Orrego Pérez</w:t>
      </w:r>
    </w:p>
    <w:p>
      <w:pPr>
        <w:spacing w:after="240" w:line="360"/>
        <w:jc w:val="both"/>
      </w:pPr>
      <w:r>
        <w:rPr>
          <w:rFonts w:ascii="Arial" w:cs="Arial" w:eastAsia="Arial" w:hAnsi="Arial"/>
          <w:sz w:val="24"/>
          <w:szCs w:val="24"/>
        </w:rPr>
        <w:t xml:space="preserve">Andrés Felipe Rodríguez Puerta</w:t>
      </w:r>
    </w:p>
    <w:p>
      <w:pPr>
        <w:spacing w:after="240" w:line="360"/>
        <w:jc w:val="both"/>
      </w:pPr>
      <w:r>
        <w:rPr>
          <w:rFonts w:ascii="Arial" w:cs="Arial" w:eastAsia="Arial" w:hAnsi="Arial"/>
          <w:sz w:val="24"/>
          <w:szCs w:val="24"/>
        </w:rPr>
        <w:t xml:space="preserve">Luis Guillermo de Jesús Vélez Álvarez</w:t>
      </w:r>
    </w:p>
    <w:p>
      <w:pPr>
        <w:spacing w:after="240" w:line="360"/>
        <w:jc w:val="both"/>
      </w:pPr>
      <w:r>
        <w:rPr>
          <w:rFonts w:ascii="Arial" w:cs="Arial" w:eastAsia="Arial" w:hAnsi="Arial"/>
          <w:sz w:val="24"/>
          <w:szCs w:val="24"/>
        </w:rPr>
        <w:t xml:space="preserve">AUSENTES:		María Paulina Suárez Roldán, concejala</w:t>
      </w:r>
    </w:p>
    <w:p>
      <w:pPr>
        <w:spacing w:after="240" w:line="360"/>
        <w:jc w:val="both"/>
      </w:pPr>
      <w:r>
        <w:rPr>
          <w:rFonts w:ascii="Arial" w:cs="Arial" w:eastAsia="Arial" w:hAnsi="Arial"/>
          <w:sz w:val="24"/>
          <w:szCs w:val="24"/>
        </w:rPr>
        <w:t xml:space="preserve">Ausencia no justificada</w:t>
      </w:r>
    </w:p>
    <w:p>
      <w:pPr>
        <w:spacing w:after="240" w:line="360"/>
        <w:jc w:val="both"/>
      </w:pPr>
      <w:r>
        <w:rPr>
          <w:rFonts w:ascii="Arial" w:cs="Arial" w:eastAsia="Arial" w:hAnsi="Arial"/>
          <w:sz w:val="24"/>
          <w:szCs w:val="24"/>
        </w:rPr>
        <w:t xml:space="preserve">Claudia Victoria Carrasquilla Minami</w:t>
      </w:r>
    </w:p>
    <w:p>
      <w:pPr>
        <w:spacing w:after="240" w:line="360"/>
        <w:jc w:val="both"/>
      </w:pPr>
      <w:r>
        <w:rPr>
          <w:rFonts w:ascii="Arial" w:cs="Arial" w:eastAsia="Arial" w:hAnsi="Arial"/>
          <w:sz w:val="24"/>
          <w:szCs w:val="24"/>
        </w:rPr>
        <w:t xml:space="preserve">Ausencia justificada El secretario General informó que se contaba con cuórum suficiente para deliberar y decidirSiendo las 08:17 horas el presidente declaró abierta la sesiónORDEN DEL DÍA:1.	Aprobación del orden del día</w:t>
      </w:r>
    </w:p>
    <w:p>
      <w:pPr>
        <w:spacing w:after="240" w:line="360"/>
        <w:jc w:val="both"/>
      </w:pPr>
      <w:r>
        <w:rPr>
          <w:rFonts w:ascii="Arial" w:cs="Arial" w:eastAsia="Arial" w:hAnsi="Arial"/>
          <w:sz w:val="24"/>
          <w:szCs w:val="24"/>
        </w:rPr>
        <w:t xml:space="preserve">2.	Invitación a funcionarios</w:t>
      </w:r>
    </w:p>
    <w:p>
      <w:pPr>
        <w:spacing w:after="240" w:line="360"/>
        <w:jc w:val="both"/>
      </w:pPr>
      <w:r>
        <w:rPr>
          <w:rFonts w:ascii="Arial" w:cs="Arial" w:eastAsia="Arial" w:hAnsi="Arial"/>
          <w:sz w:val="24"/>
          <w:szCs w:val="24"/>
        </w:rPr>
        <w:t xml:space="preserve">3.	Lectura de comunicaciones</w:t>
      </w:r>
    </w:p>
    <w:p>
      <w:pPr>
        <w:spacing w:after="240" w:line="360"/>
        <w:jc w:val="both"/>
      </w:pPr>
      <w:r>
        <w:rPr>
          <w:rFonts w:ascii="Arial" w:cs="Arial" w:eastAsia="Arial" w:hAnsi="Arial"/>
          <w:sz w:val="24"/>
          <w:szCs w:val="24"/>
        </w:rPr>
        <w:t xml:space="preserve">4.	Proposiciones</w:t>
      </w:r>
    </w:p>
    <w:p>
      <w:pPr>
        <w:spacing w:after="240" w:line="360"/>
        <w:jc w:val="both"/>
      </w:pPr>
      <w:r>
        <w:rPr>
          <w:rFonts w:ascii="Arial" w:cs="Arial" w:eastAsia="Arial" w:hAnsi="Arial"/>
          <w:sz w:val="24"/>
          <w:szCs w:val="24"/>
        </w:rPr>
        <w:t xml:space="preserve">5.	Asuntos varios</w:t>
      </w:r>
    </w:p>
    <w:p>
      <w:pPr>
        <w:spacing w:after="240" w:line="360"/>
        <w:jc w:val="both"/>
      </w:pPr>
      <w:r>
        <w:rPr>
          <w:rFonts w:ascii="Arial" w:cs="Arial" w:eastAsia="Arial" w:hAnsi="Arial"/>
          <w:sz w:val="24"/>
          <w:szCs w:val="24"/>
        </w:rPr>
        <w:t xml:space="preserve">DESARROLLO:</w:t>
      </w:r>
    </w:p>
    <w:p>
      <w:pPr>
        <w:spacing w:after="240" w:line="360"/>
        <w:jc w:val="both"/>
      </w:pPr>
      <w:r>
        <w:rPr>
          <w:rFonts w:ascii="Arial" w:cs="Arial" w:eastAsia="Arial" w:hAnsi="Arial"/>
          <w:sz w:val="24"/>
          <w:szCs w:val="24"/>
        </w:rPr>
        <w:t xml:space="preserve">1.	Aprobación del orden del día</w:t>
      </w:r>
    </w:p>
    <w:p>
      <w:pPr>
        <w:spacing w:after="240" w:line="360"/>
        <w:jc w:val="both"/>
      </w:pPr>
      <w:r>
        <w:rPr>
          <w:rFonts w:ascii="Arial" w:cs="Arial" w:eastAsia="Arial" w:hAnsi="Arial"/>
          <w:sz w:val="24"/>
          <w:szCs w:val="24"/>
        </w:rPr>
        <w:t xml:space="preserve">Se dio lectura al orden del día. Se sometió a consideración en votación ordinaria para los concejales presentes en el recinto y nominal para la concejala Janeth Hurtado Betancur en licencia de maternidad. No se presentaron intervenciones. Fue aprobado.</w:t>
      </w:r>
    </w:p>
    <w:p>
      <w:pPr>
        <w:spacing w:after="240" w:line="360"/>
        <w:jc w:val="both"/>
      </w:pPr>
      <w:r>
        <w:rPr>
          <w:rFonts w:ascii="Arial" w:cs="Arial" w:eastAsia="Arial" w:hAnsi="Arial"/>
          <w:sz w:val="24"/>
          <w:szCs w:val="24"/>
        </w:rPr>
        <w:t xml:space="preserve">2.	Invitación a funcionarios</w:t>
      </w:r>
    </w:p>
    <w:p>
      <w:pPr>
        <w:spacing w:after="240" w:line="360"/>
        <w:jc w:val="both"/>
      </w:pPr>
      <w:r>
        <w:rPr>
          <w:rFonts w:ascii="Arial" w:cs="Arial" w:eastAsia="Arial" w:hAnsi="Arial"/>
          <w:sz w:val="24"/>
          <w:szCs w:val="24"/>
        </w:rPr>
        <w:t xml:space="preserve">«Seguimiento a los proyectos de inversión del Sistema General de Participaciones»</w:t>
      </w:r>
    </w:p>
    <w:p>
      <w:pPr>
        <w:spacing w:after="240" w:line="360"/>
        <w:jc w:val="both"/>
      </w:pPr>
      <w:r>
        <w:rPr>
          <w:rFonts w:ascii="Arial" w:cs="Arial" w:eastAsia="Arial" w:hAnsi="Arial"/>
          <w:sz w:val="24"/>
          <w:szCs w:val="24"/>
        </w:rPr>
        <w:t xml:space="preserve">Esta sesión se realiza para dar cumplimiento al artículo 1 del Acto Legislativo 03 de 2024, “por medio del cual se fortalece la autonomía de los departamentos, distritos y municipios, se modifica el artículo 356 y 357 de la Constitución Política y se dictan otras disposiciones”. En esta se indica que el Concejo Distrital debe hacerle seguimiento a los proyectos de inversión del Sistema General de Participaciones - SGP.</w:t>
      </w:r>
    </w:p>
    <w:p>
      <w:pPr>
        <w:spacing w:after="240" w:line="360"/>
        <w:jc w:val="both"/>
      </w:pPr>
      <w:r>
        <w:rPr>
          <w:rFonts w:ascii="Arial" w:cs="Arial" w:eastAsia="Arial" w:hAnsi="Arial"/>
          <w:sz w:val="24"/>
          <w:szCs w:val="24"/>
        </w:rPr>
        <w:t xml:space="preserve">Tenemos a las siguientes entidades invitadas:Secretario de Hacienda (e),  Francisco Javier Hernández. Secretaria de Inclusión Social y Familia, Luz María Ramírez Correa. Director Técnico de la secretaría de Cultura Ciudadana, Jesús David Vélez Cardona. Directora Técnica Unidad Administrativa Especial Buen Comienzo, Laura Victoria Gómez.Secretaría de Educación, Anderson García.Líder del programa de la secretaría de Desarrollo Económico, Óscar Esaú.Subsecretario Administrativo y Financiero de la secretaría de Salud, Alejandro Posada.Enlace presupuestal de la secretaría de Movilidad, Jaime Alonso Castro.Subsecretaria de Servicios Públicos de la secretaría de Gestión y Control Territorial, Manuela García Gil.Inder – Instituto de Deportes y Recreación de Medellín	Secretaría de Innovación digital. Secretaría de Paz y Derechos Humanos. Intervino el presidente Sebastián López Valencia:</w:t>
      </w:r>
    </w:p>
    <w:p>
      <w:pPr>
        <w:spacing w:after="240" w:line="300"/>
        <w:ind w:left="720" w:right="720"/>
        <w:jc w:val="both"/>
      </w:pPr>
      <w:r>
        <w:rPr>
          <w:rFonts w:ascii="Arial" w:cs="Arial" w:eastAsia="Arial" w:hAnsi="Arial"/>
          <w:sz w:val="22"/>
          <w:szCs w:val="22"/>
        </w:rPr>
        <w:t xml:space="preserve">“Hemos invitado a las dependencias que tienen asignados recursos del SGP para que expongan a la plenaria cuáles son los recursos asignados y cuál ha sido el impacto de los programas y proyectos durante 2024 - 2025. Aquí ya me pasaron la lista de cómo van a intervenir. Yo les voy a ir dando la palabra de acuerdo a lo que ustedes acá me informaron”.</w:t>
      </w:r>
    </w:p>
    <w:p>
      <w:pPr>
        <w:spacing w:before="400" w:after="200" w:line="360"/>
        <w:jc w:val="left"/>
      </w:pPr>
      <w:r>
        <w:rPr>
          <w:rFonts w:ascii="Arial" w:cs="Arial" w:eastAsia="Arial" w:hAnsi="Arial"/>
          <w:b/>
          <w:bCs/>
          <w:sz w:val="24"/>
          <w:szCs w:val="24"/>
        </w:rPr>
        <w:t xml:space="preserve">Intervino el secretario de Hacienda (e), Francisco Javier Hernández:</w:t>
      </w:r>
    </w:p>
    <w:p>
      <w:pPr>
        <w:spacing w:after="240" w:line="300"/>
        <w:ind w:left="720" w:right="720"/>
        <w:jc w:val="both"/>
      </w:pPr>
      <w:r>
        <w:rPr>
          <w:rFonts w:ascii="Arial" w:cs="Arial" w:eastAsia="Arial" w:hAnsi="Arial"/>
          <w:sz w:val="22"/>
          <w:szCs w:val="22"/>
        </w:rPr>
        <w:t xml:space="preserve">“La Administración distrital viene hoy a este espacio no solo a dar cumplimiento de ley, sino también a rendir cada uno de los proyectos de inversión y los recursos que el SGP ha tenido para el Distrito durante 2024 y al corte de octubre de 2025.</w:t>
      </w:r>
    </w:p>
    <w:p>
      <w:pPr>
        <w:spacing w:after="240" w:line="360"/>
        <w:jc w:val="both"/>
      </w:pPr>
      <w:r>
        <w:rPr>
          <w:rFonts w:ascii="Arial" w:cs="Arial" w:eastAsia="Arial" w:hAnsi="Arial"/>
          <w:sz w:val="24"/>
          <w:szCs w:val="24"/>
        </w:rPr>
        <w:t xml:space="preserve">Les vamos a exponer qué recursos desde el presupuesto de ingresos hemos recibido y luego cada ordenador del gasto les explicará cómo ha sido su destinación en los proyectos de inversión y su cumplimiento en el plan de desarrollo.</w:t>
      </w:r>
    </w:p>
    <w:p>
      <w:pPr>
        <w:spacing w:after="240" w:line="360"/>
        <w:jc w:val="both"/>
      </w:pPr>
      <w:r>
        <w:rPr>
          <w:rFonts w:ascii="Arial" w:cs="Arial" w:eastAsia="Arial" w:hAnsi="Arial"/>
          <w:sz w:val="24"/>
          <w:szCs w:val="24"/>
        </w:rPr>
        <w:t xml:space="preserve">Lo primero es decir que el Sistema General de Participaciones es el mecanismo por medio del cual se distribuyen los recursos a los departamentos, distritos y municipios y que sirven para garantizar servicios esenciales del Estado en el territorio. Esto dando cumplimiento al artículo 356 que regula el SGP y 357 que define cómo se reparten los recursos según la población y las necesidades.</w:t>
      </w:r>
    </w:p>
    <w:p>
      <w:pPr>
        <w:spacing w:after="240" w:line="360"/>
        <w:jc w:val="both"/>
      </w:pPr>
      <w:r>
        <w:rPr>
          <w:rFonts w:ascii="Arial" w:cs="Arial" w:eastAsia="Arial" w:hAnsi="Arial"/>
          <w:sz w:val="24"/>
          <w:szCs w:val="24"/>
        </w:rPr>
        <w:t xml:space="preserve">¿Qué tipo de recursos hemos recibido como Distrito durante la vigencia 2024 y 2025? Hemos recibido recursos para financiar servicios esenciales en educación,</w:t>
      </w:r>
    </w:p>
    <w:p>
      <w:pPr>
        <w:spacing w:after="240" w:line="360"/>
        <w:jc w:val="both"/>
      </w:pPr>
      <w:r>
        <w:rPr>
          <w:rFonts w:ascii="Arial" w:cs="Arial" w:eastAsia="Arial" w:hAnsi="Arial"/>
          <w:sz w:val="24"/>
          <w:szCs w:val="24"/>
        </w:rPr>
        <w:t xml:space="preserve">salud, agua potable y saneamiento básico y en propósito general destinados a cultura, deporte y fortalecimiento institucional.</w:t>
      </w:r>
    </w:p>
    <w:p>
      <w:pPr>
        <w:spacing w:after="240" w:line="360"/>
        <w:jc w:val="both"/>
      </w:pPr>
      <w:r>
        <w:rPr>
          <w:rFonts w:ascii="Arial" w:cs="Arial" w:eastAsia="Arial" w:hAnsi="Arial"/>
          <w:sz w:val="24"/>
          <w:szCs w:val="24"/>
        </w:rPr>
        <w:t xml:space="preserve">¿Cuáles son los criterios que se usan desde el Departamento Nacional de Planeación para esta distribución de recursos? En educación se tienen en cuenta variables como:Población atendida y por atenderCobertura y matrícula oficialDesempeño y eficiencia en el uso de los recursos. Para salud:Población afiliada al régimen subsidiado.Necesidades básicas insatisfechas en el territorio.Indicadores de equidad y eficiencia.Agua potable y saneamiento básico:Déficit en coberturas de acueducto y alcantarillado.Población urbana y rural beneficiada.Esfuerzo fiscal y la eficiencia en la gestión. Y dentro del grupo de propósito general:Población total del territorio.Necesidades básicas insatisfechas y dispersión geográfica.Equidad en territorios y eficiencia administrativa.Por dependencias:</w:t>
      </w:r>
    </w:p>
    <w:p>
      <w:pPr>
        <w:spacing w:after="240" w:line="360"/>
        <w:jc w:val="both"/>
      </w:pPr>
      <w:r>
        <w:rPr>
          <w:rFonts w:ascii="Arial" w:cs="Arial" w:eastAsia="Arial" w:hAnsi="Arial"/>
          <w:sz w:val="24"/>
          <w:szCs w:val="24"/>
        </w:rPr>
        <w:t xml:space="preserve">Debemos decir que el SGP en educación hemos recibido para el sector de prestación de servicios el presupuesto definitivo a octubre es de $ 1 billón 466 370, mientras que para el presupuesto inicial de 2026 estamos arrancando con documentos técnicos donde nos indican que el caso inicial del documento para ese sector es de $ 1 billón 380 095 millones. Es decir, a través de la vigencia vamos recibiendo unos documentos técnicos que ajustan el valor de los recursos asignados a SGP. Por eso el próximo año arrancamos con un valor inferior al que el corte de octubre de este año tenemos.</w:t>
      </w:r>
    </w:p>
    <w:p>
      <w:pPr>
        <w:spacing w:after="240" w:line="360"/>
        <w:jc w:val="both"/>
      </w:pPr>
      <w:r>
        <w:rPr>
          <w:rFonts w:ascii="Arial" w:cs="Arial" w:eastAsia="Arial" w:hAnsi="Arial"/>
          <w:sz w:val="24"/>
          <w:szCs w:val="24"/>
        </w:rPr>
        <w:t xml:space="preserve">Para el sector de calidad en la educación tenemos un cierre a octubre de $ 23 485 millones y un presupuesto proyectado para el 2026 de $ 20 872. Calidad por gratuidad $ 37 548 al corte de 2025 y en el 2026 proyectado $ 26 289. Lo que en el sector de educación hemos recibido $ 1 billón 520 403 millones y tenemos proyectado $ 1 billón 427 256.</w:t>
      </w:r>
    </w:p>
    <w:p>
      <w:pPr>
        <w:spacing w:after="240" w:line="360"/>
        <w:jc w:val="both"/>
      </w:pPr>
      <w:r>
        <w:rPr>
          <w:rFonts w:ascii="Arial" w:cs="Arial" w:eastAsia="Arial" w:hAnsi="Arial"/>
          <w:sz w:val="24"/>
          <w:szCs w:val="24"/>
        </w:rPr>
        <w:t xml:space="preserve">Para salud son dos subsectores: régimen subsidiado y salud pública. A corte de octubre de 2025, tenemos un total recibido por $ 566 317 millones, con $ 534 000 para el primer subsector de régimen subsidiado y $ 31 762 millones para salud pública.</w:t>
      </w:r>
    </w:p>
    <w:p>
      <w:pPr>
        <w:spacing w:after="240" w:line="360"/>
        <w:jc w:val="both"/>
      </w:pPr>
      <w:r>
        <w:rPr>
          <w:rFonts w:ascii="Arial" w:cs="Arial" w:eastAsia="Arial" w:hAnsi="Arial"/>
          <w:sz w:val="24"/>
          <w:szCs w:val="24"/>
        </w:rPr>
        <w:t xml:space="preserve">¿Qué tenemos proyectado para 2026? Arrancar con $ 535 708 millones en régimen subsidiado y en salud pública $ 28 473 para un total de $ 564 000 millones.</w:t>
      </w:r>
    </w:p>
    <w:p>
      <w:pPr>
        <w:spacing w:after="240" w:line="360"/>
        <w:jc w:val="both"/>
      </w:pPr>
      <w:r>
        <w:rPr>
          <w:rFonts w:ascii="Arial" w:cs="Arial" w:eastAsia="Arial" w:hAnsi="Arial"/>
          <w:sz w:val="24"/>
          <w:szCs w:val="24"/>
        </w:rPr>
        <w:t xml:space="preserve">Propósito general:</w:t>
      </w:r>
    </w:p>
    <w:p>
      <w:pPr>
        <w:spacing w:after="240" w:line="360"/>
        <w:jc w:val="both"/>
      </w:pPr>
      <w:r>
        <w:rPr>
          <w:rFonts w:ascii="Arial" w:cs="Arial" w:eastAsia="Arial" w:hAnsi="Arial"/>
          <w:sz w:val="24"/>
          <w:szCs w:val="24"/>
        </w:rPr>
        <w:t xml:space="preserve">Los recursos los distribuimos en deporte, cultura. Tenemos para libre inversión en Inclusión Social y Buen Comienzo durante  2025 a octubre recibimos $ 136 476 millones y tenemos proyectados $ 116 554 millones. Otros proyectos que han recibido en SGP han sido:</w:t>
      </w:r>
    </w:p>
    <w:p>
      <w:pPr>
        <w:spacing w:after="240" w:line="360"/>
        <w:jc w:val="both"/>
      </w:pPr>
      <w:r>
        <w:rPr>
          <w:rFonts w:ascii="Arial" w:cs="Arial" w:eastAsia="Arial" w:hAnsi="Arial"/>
          <w:sz w:val="24"/>
          <w:szCs w:val="24"/>
        </w:rPr>
        <w:t xml:space="preserve">Gestión y Control Territorial para agua potable $ 45 000 millones.</w:t>
      </w:r>
    </w:p>
    <w:p>
      <w:pPr>
        <w:spacing w:after="240" w:line="360"/>
        <w:jc w:val="both"/>
      </w:pPr>
      <w:r>
        <w:rPr>
          <w:rFonts w:ascii="Arial" w:cs="Arial" w:eastAsia="Arial" w:hAnsi="Arial"/>
          <w:sz w:val="24"/>
          <w:szCs w:val="24"/>
        </w:rPr>
        <w:t xml:space="preserve">Inclusión  Social por alimentación escolar, $ 6000 millones y tenemos proyectados $ 34 000 y $ 5000 respectivamente para un total en 2026 de $ 40 751.</w:t>
      </w:r>
    </w:p>
    <w:p>
      <w:pPr>
        <w:spacing w:after="240" w:line="360"/>
        <w:jc w:val="both"/>
      </w:pPr>
      <w:r>
        <w:rPr>
          <w:rFonts w:ascii="Arial" w:cs="Arial" w:eastAsia="Arial" w:hAnsi="Arial"/>
          <w:sz w:val="24"/>
          <w:szCs w:val="24"/>
        </w:rPr>
        <w:t xml:space="preserve">En términos generales, la ejecución que ha tenido cada secretaría, como podemos ver en el 2024, la mayoría de los recursos de SGP se ejecutan, a corte de 2025 algunos ya están ejecutados al 100 %, otros tienen una ejecución, digamos normal de acuerdo a la estacionalidad que tenemos en el año. Esto nos permite garantizar que estos recursos tienen la cobertura y la destinación que la ley les asigna.</w:t>
      </w:r>
    </w:p>
    <w:p>
      <w:pPr>
        <w:spacing w:after="100"/>
      </w:pPr>
    </w:p>
    <w:p>
      <w:pPr>
        <w:spacing w:before="200" w:after="200"/>
        <w:jc w:val="center"/>
      </w:pPr>
      <w:r>
        <w:drawing>
          <wp:inline distT="0" distB="0" distL="0" distR="0">
            <wp:extent cx="4286250" cy="2476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286250" cy="24765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¿Qué seguimiento hacemos? Como secretaría de Hacienda tenemos un seguimiento técnico a los documentos de distribución para saber qué reducciones o qué incrementos se hacen en los sectores y así poderlo asignar a cada una de las dependencias de acuerdo a su destinación específica y las necesidades que cada ordenador del gasto plantee en los sectores que la ley le trae.</w:t>
      </w:r>
    </w:p>
    <w:p>
      <w:pPr>
        <w:spacing w:after="240" w:line="360"/>
        <w:jc w:val="both"/>
      </w:pPr>
      <w:r>
        <w:rPr>
          <w:rFonts w:ascii="Arial" w:cs="Arial" w:eastAsia="Arial" w:hAnsi="Arial"/>
          <w:sz w:val="24"/>
          <w:szCs w:val="24"/>
        </w:rPr>
        <w:t xml:space="preserve">A su vez, los ordenadores del gasto son quienes deciden cómo se debe comprometer cada recurso. Por eso traemos acá las dependencias para que expongan cómo ha sido su ejecución”.</w:t>
      </w:r>
    </w:p>
    <w:p>
      <w:pPr>
        <w:spacing w:before="400" w:after="200" w:line="360"/>
        <w:jc w:val="left"/>
      </w:pPr>
      <w:r>
        <w:rPr>
          <w:rFonts w:ascii="Arial" w:cs="Arial" w:eastAsia="Arial" w:hAnsi="Arial"/>
          <w:b/>
          <w:bCs/>
          <w:sz w:val="24"/>
          <w:szCs w:val="24"/>
        </w:rPr>
        <w:t xml:space="preserve">Intervino la secretaria de Inclusión Social y Familia, Luz María Ramírez Correa</w:t>
      </w:r>
    </w:p>
    <w:p>
      <w:pPr>
        <w:spacing w:after="240" w:line="300"/>
        <w:ind w:left="720" w:right="720"/>
        <w:jc w:val="both"/>
      </w:pPr>
      <w:r>
        <w:rPr>
          <w:rFonts w:ascii="Arial" w:cs="Arial" w:eastAsia="Arial" w:hAnsi="Arial"/>
          <w:sz w:val="22"/>
          <w:szCs w:val="22"/>
        </w:rPr>
        <w:t xml:space="preserve">“Teniendo en cuenta lo que nos dice el secretario de Hacienda encargado, tenemos para la secretaría para 2024 un total de recursos de SGP asignados de $ 106 270 millones y para 2025,  $ 133 591 935 589, los cuales se dividen en SGP propósito general y SGP alimentación escolar y se utilizan en los proyectos del Programa de Alimentación Escolar - PAE, para la atención de personas con discapacidad, para la asistencia alimentaria a población vulnerable y para la atención a niños, niños y adolescentes en condiciones de vulnerabilidad, que es el proyecto de atención también de la Unidad de Niñez.</w:t>
      </w:r>
    </w:p>
    <w:p>
      <w:pPr>
        <w:spacing w:after="240" w:line="360"/>
        <w:jc w:val="both"/>
      </w:pPr>
      <w:r>
        <w:rPr>
          <w:rFonts w:ascii="Arial" w:cs="Arial" w:eastAsia="Arial" w:hAnsi="Arial"/>
          <w:sz w:val="24"/>
          <w:szCs w:val="24"/>
        </w:rPr>
        <w:t xml:space="preserve">Entonces, esto es lo que tenemos hoy:</w:t>
      </w:r>
    </w:p>
    <w:p>
      <w:pPr>
        <w:spacing w:after="100"/>
      </w:pPr>
    </w:p>
    <w:p>
      <w:pPr>
        <w:spacing w:before="200" w:after="200"/>
        <w:jc w:val="center"/>
      </w:pPr>
      <w:r>
        <w:drawing>
          <wp:inline distT="0" distB="0" distL="0" distR="0">
            <wp:extent cx="4286250" cy="24003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286250" cy="24003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Principales logros obtenidos con dichos recursos en los proyectos para las vigencias 2024 y 2025 son los siguientes:En cuanto al PAE, entre 2024 y 2027 vamos a beneficiar a 268 000 escolares, lo que representa un aumento de cobertura del 74 % al 89 % respecto a la matrícula oficial que es alrededor de 300 000 escolares, consolidando el PAE como una estrategia para disminuir las condiciones de inseguridad alimentaria y para favorecer la permanencia educativa en las instituciones del Distrito. Beneficiamos hoy a 244 232 escolares de las instituciones educativas oficiales del Distrito con una atención diaria e ininterrumpida. Ampliamos anualmente 12 000 nuevos cupos, este año 244 000, el próximo 256 000.Hemos generado 1600 empleos directos en la cadena de producción y distribución de los alimentos. En cuanto a los logros de la asistencia alimentaria a población vulnerable tenemos:En 2024 beneficiamos a 18 053 familias con paquete alimentario y garantizando acceso y alimentos a más de 30 000 hogares vulnerables con una inversión superior a los $ 21 000 millones, que corresponden a 2025. En 2024 capacitamos a 14 672 hogares en la adopción de hábitos alimentarios saludables y sostenibles y en 2025 hemos capacitado a 22 337 personas. En cuanto a la atención de la población de niñas, niños y adolescentes:En 2024 soportamos el restablecimiento derechos de 6515 niñas, niños y adolescentes y en el 2025, con corte octubre, 5624. Brindamos atención oportuna a niños, niñas y adolescentes en situaciones de riesgo o vulneración, mientras la autoridad administrativa define la medida de protección para ellos. Realizamos planes de intervención individual con enfoque diferencial a partir de la valoración psicosocial y el diagnóstico que hacen los diferentes equipos de la Unidad de Niñez. Realizamos atención psicoterapéutica bajo la metodología de Jugar para Sanar a 420 niñas, niñas y adolescentes víctimas de violencias sexuales junto con sus familias o  cuidadores. Esto en 2024 y en 2025 llevamos atendidos con corte a octubre a 432.Unidad de Discapacidad:En 2024 atendimos 1540 personas con discapacidad y personas cuidadoras a través de procesos de habilitación, rehabilitación, acompañamiento, equiparación de oportunidades y en 2025 hemos atendido 597 personas. En 2024 brindamos atención a 4625 personas y en 2025 a 4562 personas con discapacidad, personas cuidadoras, con acciones de identificación, orientación, seguimiento a las diferentes rutas de atención para garantizar el acceso a los servicios de ciudad y valoración de apoyos. 1340 personas han participado en asistencias técnicas a través de las diferentes instancias de participación.Intervino el director Técnico de la secretaría de Cultura, Jesús David Vélez:</w:t>
      </w:r>
    </w:p>
    <w:p>
      <w:pPr>
        <w:spacing w:after="240" w:line="300"/>
        <w:ind w:left="720" w:right="720"/>
        <w:jc w:val="both"/>
      </w:pPr>
      <w:r>
        <w:rPr>
          <w:rFonts w:ascii="Arial" w:cs="Arial" w:eastAsia="Arial" w:hAnsi="Arial"/>
          <w:sz w:val="22"/>
          <w:szCs w:val="22"/>
        </w:rPr>
        <w:t xml:space="preserve">“Desde la secretaría de Cultura Ciudadana, de acuerdo a los recursos SGP asignados para la vigencia 2024 tuvimos una ejecución de $ 7838 millones, para 2025 de $ 9171 millones. se reporta el 2023, un recurso que se carga a la secretaría por una ejecución.</w:t>
      </w:r>
    </w:p>
    <w:p>
      <w:pPr>
        <w:spacing w:after="240" w:line="360"/>
        <w:jc w:val="both"/>
      </w:pPr>
      <w:r>
        <w:rPr>
          <w:rFonts w:ascii="Arial" w:cs="Arial" w:eastAsia="Arial" w:hAnsi="Arial"/>
          <w:sz w:val="24"/>
          <w:szCs w:val="24"/>
        </w:rPr>
        <w:t xml:space="preserve">La asignación se da básicamente en dos proyectos de inversión:Fortalecimiento de los servicios bibliotecarios, que es desde donde se atiende todo el Sistema de Bibliotecas Públicas de Medellín.Desarrollo de la red de prácticas artísticas y culturales, donde se atienden desde música, danza, teatro, artes plásticas y visuales para toda la ciudad.Los logros que tenemos proyectados del fortalecimiento de los servicios bibliotecarios:</w:t>
      </w:r>
    </w:p>
    <w:p>
      <w:pPr>
        <w:spacing w:after="240" w:line="360"/>
        <w:jc w:val="both"/>
      </w:pPr>
      <w:r>
        <w:rPr>
          <w:rFonts w:ascii="Arial" w:cs="Arial" w:eastAsia="Arial" w:hAnsi="Arial"/>
          <w:sz w:val="24"/>
          <w:szCs w:val="24"/>
        </w:rPr>
        <w:t xml:space="preserve">Durante la vigencia 2024 y 2025 se beneficiaron en total $ 4 430 000 usuarios de los diferentes programas y servicios en las unidades de información. El municipio en este momento tiene 28 unidades donde se desarrollan todos los servicios bibliotecarios, se generan estrategias de promoción de la lectura, la escritura y la oralidad.</w:t>
      </w:r>
    </w:p>
    <w:p>
      <w:pPr>
        <w:spacing w:after="240" w:line="360"/>
        <w:jc w:val="both"/>
      </w:pPr>
      <w:r>
        <w:rPr>
          <w:rFonts w:ascii="Arial" w:cs="Arial" w:eastAsia="Arial" w:hAnsi="Arial"/>
          <w:sz w:val="24"/>
          <w:szCs w:val="24"/>
        </w:rPr>
        <w:t xml:space="preserve">En estas vigencias en unos servicios básicos bibliotecarios que presta, se encuentran amparados en la Ley 1493, hemos tenido:Material bibliográfico prestado: 600 000 Consulta y referencia: 348 000Acceso a las TIC´s, que es donde se encuentra todo lo que es capacitación a adultos mayores, niños, niñas y adolescentes: 488 000Préstamos de espacios 670 000 usuarios. Exposiciones: 345Préstamos digitales: 39 000Actividades de MakerSpace que están relacionados con la cuarta revolución industrial: 1835.Actividades totales: 53 316.El Sistema de Bibliotecas Públicas de Medellín es muy importante para la ciudad, toda vez que la apertura se realiza en los primeros días del mes de enero y funcionamos hasta finales de diciembre. Son espacios que funcionan los fines de semana y que todo ciudadano puede habitar en cualquier momento y que tiene estrategias que ayudan a promocionar diferentes elementos para la vida. Tenemos talleres para niños desde los cero a los cinco años como Pasitos Lectores, talleres de formación, de escritura y demás, que es muy importante para la ciudad.</w:t>
      </w:r>
    </w:p>
    <w:p>
      <w:pPr>
        <w:spacing w:after="240" w:line="360"/>
        <w:jc w:val="both"/>
      </w:pPr>
      <w:r>
        <w:rPr>
          <w:rFonts w:ascii="Arial" w:cs="Arial" w:eastAsia="Arial" w:hAnsi="Arial"/>
          <w:sz w:val="24"/>
          <w:szCs w:val="24"/>
        </w:rPr>
        <w:t xml:space="preserve">Y además tenemos otras estrategias de acompañamiento territorial como lo es  arte para la libertad, tenemos talleres que van directamente a centros carcelarios para de una u otra manera promover la lectura, la escritura y la oralidad en estos espacios.</w:t>
      </w:r>
    </w:p>
    <w:p>
      <w:pPr>
        <w:spacing w:after="240" w:line="360"/>
        <w:jc w:val="both"/>
      </w:pPr>
      <w:r>
        <w:rPr>
          <w:rFonts w:ascii="Arial" w:cs="Arial" w:eastAsia="Arial" w:hAnsi="Arial"/>
          <w:sz w:val="24"/>
          <w:szCs w:val="24"/>
        </w:rPr>
        <w:t xml:space="preserve">Tenemos actividades como Abuelos Cuentacuentos, que son adultos que de forma voluntaria le dan otro significado también a su vida, acompañando diferentes espacios a través de la promoción de la lectura, de la escritura y la oralidad.</w:t>
      </w:r>
    </w:p>
    <w:p>
      <w:pPr>
        <w:spacing w:after="240" w:line="360"/>
        <w:jc w:val="both"/>
      </w:pPr>
      <w:r>
        <w:rPr>
          <w:rFonts w:ascii="Arial" w:cs="Arial" w:eastAsia="Arial" w:hAnsi="Arial"/>
          <w:sz w:val="24"/>
          <w:szCs w:val="24"/>
        </w:rPr>
        <w:t xml:space="preserve">En el proyecto del desarrollo de la Red de Prácticas Artísticas y Culturales, para estas dos vigencias tenemos de acuerdo a los logros, actividades de dos de las principales redes que se atendieron con estos recursos. La más importante de todas es la Red de Música. Tenemos:28 escuelas de música en 16 comunas y tres corregimientos. Más de 8200 participantes en cada uno de los años en los que se presta este servicio. Los mayores beneficiarios de la Red de Música y de las Escuelas de Música son de los estratos 2 y 3, llegando a ser alrededor de 5659 personas. 432 participantes que se encuentran inscritas tienen alguna condición de discapacidad y también tenemos dentro de la Red un programa de trabajo con personas neurodiversas. Y dentro de las otras redes que son artes plásticas y visuales, hemos trabajado todo lo que tiene que ver con la creación en dibujo, pintura, temas escultóricos, y ya más desde la red de lo audiovisual, trabajos desde lo experimental, la ficción, lo documental y videoclip. Dentro de la Red de Música y las actividades que desarrollamos, tenemos iniciación musical, intermedio y avanzado. Asimismo, estos logros son muy importantes toda vez que la Red cumple 30 años en 2026”.</w:t>
      </w:r>
    </w:p>
    <w:p>
      <w:pPr>
        <w:spacing w:before="400" w:after="200" w:line="360"/>
        <w:jc w:val="left"/>
      </w:pPr>
      <w:r>
        <w:rPr>
          <w:rFonts w:ascii="Arial" w:cs="Arial" w:eastAsia="Arial" w:hAnsi="Arial"/>
          <w:b/>
          <w:bCs/>
          <w:sz w:val="24"/>
          <w:szCs w:val="24"/>
        </w:rPr>
        <w:t xml:space="preserve">Intervino la directora Técnica de la Unidad Administrativa Buen Comienzo, Laura Victoria Gómez:</w:t>
      </w:r>
    </w:p>
    <w:p>
      <w:pPr>
        <w:spacing w:after="240" w:line="300"/>
        <w:ind w:left="720" w:right="720"/>
        <w:jc w:val="both"/>
      </w:pPr>
      <w:r>
        <w:rPr>
          <w:rFonts w:ascii="Arial" w:cs="Arial" w:eastAsia="Arial" w:hAnsi="Arial"/>
          <w:sz w:val="22"/>
          <w:szCs w:val="22"/>
        </w:rPr>
        <w:t xml:space="preserve">“A la Unidad Administrativa le es asignado recursos del SGP de libre inversión para dos proyectos, para el caso de 2024 contamos con un valor asignado de $ 12 540 millones en dos proyectos de inversión: Servicio de atención integral a la primera infancia: $ 3013 millones.Proyecto de la situación nutricional de niños y niñas $ 9527 millones.Logrando una ejecución al 31 de diciembre sobre $ 10 649 millones.</w:t>
      </w:r>
    </w:p>
    <w:p>
      <w:pPr>
        <w:spacing w:before="400" w:after="200" w:line="360"/>
        <w:jc w:val="left"/>
      </w:pPr>
      <w:r>
        <w:rPr>
          <w:rFonts w:ascii="Arial" w:cs="Arial" w:eastAsia="Arial" w:hAnsi="Arial"/>
          <w:b/>
          <w:bCs/>
          <w:sz w:val="24"/>
          <w:szCs w:val="24"/>
        </w:rPr>
        <w:t xml:space="preserve">Intervino la directora técnica de la Unidad Administrativa Buen Comienzo, Laura Victoria Gómez Naranjo:</w:t>
      </w:r>
    </w:p>
    <w:p>
      <w:pPr>
        <w:spacing w:after="240" w:line="300"/>
        <w:ind w:left="720" w:right="720"/>
        <w:jc w:val="both"/>
      </w:pPr>
      <w:r>
        <w:rPr>
          <w:rFonts w:ascii="Arial" w:cs="Arial" w:eastAsia="Arial" w:hAnsi="Arial"/>
          <w:sz w:val="22"/>
          <w:szCs w:val="22"/>
        </w:rPr>
        <w:t xml:space="preserve">“Como lo decían, desde la parte de la secretaría de Hacienda a la Unidad Administrativa Especial Buen Comienzo le es asignado recursos por el SGP (Sistema General de Participaciones) de libre inversión para dos proyectos:</w:t>
      </w:r>
    </w:p>
    <w:p>
      <w:pPr>
        <w:spacing w:after="100"/>
      </w:pPr>
    </w:p>
    <w:p>
      <w:pPr>
        <w:spacing w:before="200" w:after="200"/>
        <w:jc w:val="center"/>
      </w:pPr>
      <w:r>
        <w:drawing>
          <wp:inline distT="0" distB="0" distL="0" distR="0">
            <wp:extent cx="4286250" cy="18954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286250" cy="189547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Para la vigencia 2025, hoy de acuerdo con el valor asignado que tenemos, están distribuidos en tres proyectos de inversión que apuntan a la primera infancia:</w:t>
      </w:r>
    </w:p>
    <w:p>
      <w:pPr>
        <w:spacing w:after="100"/>
      </w:pPr>
    </w:p>
    <w:p>
      <w:pPr>
        <w:spacing w:before="200" w:after="200"/>
        <w:jc w:val="center"/>
      </w:pPr>
      <w:r>
        <w:drawing>
          <wp:inline distT="0" distB="0" distL="0" distR="0">
            <wp:extent cx="42862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286250" cy="21717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Hoy dentro de los logros que podemos contemplar en cada uno de los proyectos donde se han enmarcado estos recursos del SGP, es básicamente en el proyecto Nutrir para Sanar, Sanar para Crecer que ha tenido un impacto significativo en 2024, se lograron atender a 18 570 niños y mujeres gestantes y lactantes a través de esas intervenciones a nivel nutricional del programa. En el periodo 2025 logramos 16 700 niños y niñas.</w:t>
      </w:r>
    </w:p>
    <w:p>
      <w:pPr>
        <w:spacing w:after="240" w:line="360"/>
        <w:jc w:val="both"/>
      </w:pPr>
      <w:r>
        <w:rPr>
          <w:rFonts w:ascii="Arial" w:cs="Arial" w:eastAsia="Arial" w:hAnsi="Arial"/>
          <w:sz w:val="24"/>
          <w:szCs w:val="24"/>
        </w:rPr>
        <w:t xml:space="preserve">A través del programa del servicio de atención integral que brindamos en los jardines y centros a través del acompañamiento de pedagogía, seguimiento al desarrollo, salud, alimentación, nutrición, protección a la familia y comunidad.</w:t>
      </w:r>
    </w:p>
    <w:p>
      <w:pPr>
        <w:spacing w:after="240" w:line="360"/>
        <w:jc w:val="both"/>
      </w:pPr>
      <w:r>
        <w:rPr>
          <w:rFonts w:ascii="Arial" w:cs="Arial" w:eastAsia="Arial" w:hAnsi="Arial"/>
          <w:sz w:val="24"/>
          <w:szCs w:val="24"/>
        </w:rPr>
        <w:t xml:space="preserve">Estos recursos que nos asignaron por el SGP junto con el recurso asignado por el Distrito, nos permitieron cofinanciar esa atención integral que brindamos en centros y jardines infantiles de la primera infancia.</w:t>
      </w:r>
    </w:p>
    <w:p>
      <w:pPr>
        <w:spacing w:after="240" w:line="360"/>
        <w:jc w:val="both"/>
      </w:pPr>
      <w:r>
        <w:rPr>
          <w:rFonts w:ascii="Arial" w:cs="Arial" w:eastAsia="Arial" w:hAnsi="Arial"/>
          <w:sz w:val="24"/>
          <w:szCs w:val="24"/>
        </w:rPr>
        <w:t xml:space="preserve">Hablando específicamente de la vigencia 2025, este año tuvimos una asignación del recurso del SGP, también para el proyecto de infraestructura educativa que hoy está marcado en la construcción que continuamos avanzando del jardín infantil en San Sebastián y Palmitas. En este jardín infantil tendremos una infraestructura con capacidad para 150 niños vinculados directamente para Buen comienzo, y 100 niños que será un proyecto articulador con la secretaría de Educación y la Héctor Rogelio”.</w:t>
      </w:r>
    </w:p>
    <w:p>
      <w:pPr>
        <w:spacing w:before="400" w:after="200" w:line="360"/>
        <w:jc w:val="left"/>
      </w:pPr>
      <w:r>
        <w:rPr>
          <w:rFonts w:ascii="Arial" w:cs="Arial" w:eastAsia="Arial" w:hAnsi="Arial"/>
          <w:b/>
          <w:bCs/>
          <w:sz w:val="24"/>
          <w:szCs w:val="24"/>
        </w:rPr>
        <w:t xml:space="preserve">Intervino el subsecretario administrativo de la secretaría de Educación, Anderson García Cano:</w:t>
      </w:r>
    </w:p>
    <w:p>
      <w:pPr>
        <w:spacing w:after="240" w:line="300"/>
        <w:ind w:left="720" w:right="720"/>
        <w:jc w:val="both"/>
      </w:pPr>
      <w:r>
        <w:rPr>
          <w:rFonts w:ascii="Arial" w:cs="Arial" w:eastAsia="Arial" w:hAnsi="Arial"/>
          <w:sz w:val="22"/>
          <w:szCs w:val="22"/>
        </w:rPr>
        <w:t xml:space="preserve">“En el caso de la secretaría de Educación, los recursos que recibimos por el SGP vienen por dos categorías principalmente, aquí tenemos una distribución porque separamos lo que tiene que ver con los rendimientos financieros del sistema general, pero las dos categorías corresponden a la prestación del servicio y calidad:</w:t>
      </w:r>
    </w:p>
    <w:p>
      <w:pPr>
        <w:spacing w:after="100"/>
      </w:pPr>
    </w:p>
    <w:p>
      <w:pPr>
        <w:spacing w:before="200" w:after="200"/>
        <w:jc w:val="center"/>
      </w:pPr>
      <w:r>
        <w:drawing>
          <wp:inline distT="0" distB="0" distL="0" distR="0">
            <wp:extent cx="4286250" cy="2209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4286250" cy="22098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En el concepto de prestación de servicio, específicamente en lo que tiene que ver con asuntos relacionados con la nómina de maestros, también es muy importante destacar:</w:t>
      </w:r>
    </w:p>
    <w:p>
      <w:pPr>
        <w:spacing w:after="100"/>
      </w:pPr>
    </w:p>
    <w:p>
      <w:pPr>
        <w:spacing w:before="200" w:after="200"/>
        <w:jc w:val="center"/>
      </w:pPr>
      <w:r>
        <w:drawing>
          <wp:inline distT="0" distB="0" distL="0" distR="0">
            <wp:extent cx="4286250" cy="22383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4286250" cy="223837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Ese es un componente obviamente muy importante para la prestación del servicio y donde está concentrada la mayor parte del recurso, que corresponde a casi toda la asignación del SGP que recibe la secretaría.</w:t>
      </w:r>
    </w:p>
    <w:p>
      <w:pPr>
        <w:spacing w:after="240" w:line="360"/>
        <w:jc w:val="both"/>
      </w:pPr>
      <w:r>
        <w:rPr>
          <w:rFonts w:ascii="Arial" w:cs="Arial" w:eastAsia="Arial" w:hAnsi="Arial"/>
          <w:sz w:val="24"/>
          <w:szCs w:val="24"/>
        </w:rPr>
        <w:t xml:space="preserve">Otros conceptos que reciben recursos de parte del SGP en el que puedo decir que es una cofinanciación de los elementos de la prestación del servicio cercana o entre un 30 y un 40 % de lo que es el costo final de esas actividades en la ciudad, por ejemplo:El pago de riesgos para los estudiantes de media técnica que realizan prácticas en empresas.la conectividad con un valor muy cercano a un 30 % de lo que realmente cuesta para los 421 establecimientos educativos.En el componente de educación inclusiva que también es muy importante y cercano a un 25 % de lo que cuesta.La cobertura que corresponde a la financiación que efectuamos a través de privados, en lugares donde la oficialidad no tiene la disponibilidad de cupos.En cuanto al SGP Calidad, hay que destacar que en el componente específico de calidad el elemento de mayor crecimiento por un lado y segundo de mayor volumen corresponde al concepto de gratuidad, que son recursos que el ministerio gira directamente a los fondos de servicios educativos de las instituciones educativas, ese no es un recurso que la secretaría de Educación haga una ordenación del gasto, pasa por la secretaría como un recurso sin situación de fondo, pero hace parte de los fondos de servicios educativos, y aquí destacar que entre 2024 y 2025 el ministerio hizo un incremento en los recursos que llegan a los fondos de servicios, toda esa ordenación de ese recurso corresponde a los rectores de las instituciones educativas para las necesidades que tienen:</w:t>
      </w:r>
    </w:p>
    <w:p>
      <w:pPr>
        <w:spacing w:after="100"/>
      </w:pPr>
    </w:p>
    <w:p>
      <w:pPr>
        <w:spacing w:before="200" w:after="200"/>
        <w:jc w:val="center"/>
      </w:pPr>
      <w:r>
        <w:drawing>
          <wp:inline distT="0" distB="0" distL="0" distR="0">
            <wp:extent cx="4286250" cy="2095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4286250" cy="20955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El resto del componente de SGP Calidad, corresponde a una fracción también del transporte escolar cercana al 35%, el pago de servicios públicos también en una fracción de lo que es el costo, y ya por unos remanentes de años anteriores por asuntos asociados al mantenimiento, pero no es allí donde se concentra la mayor parte del recurso del SGP Calidad.</w:t>
      </w:r>
    </w:p>
    <w:p>
      <w:pPr>
        <w:spacing w:after="240" w:line="360"/>
        <w:jc w:val="both"/>
      </w:pPr>
      <w:r>
        <w:rPr>
          <w:rFonts w:ascii="Arial" w:cs="Arial" w:eastAsia="Arial" w:hAnsi="Arial"/>
          <w:sz w:val="24"/>
          <w:szCs w:val="24"/>
        </w:rPr>
        <w:t xml:space="preserve">Algunos logros con respecto a los recursos del SGP:La garantía del funcionamiento técnico, operativo y administrativo de la secretaría de Educación y sus 421 sedes educativas.En ningún momento hemos tenido deficiencias en la operación de aspectos como vigilancia, aseo, apoyo administrativo y pago de servicios públicos en lo que corresponde a 2024 a 2025, que son el funcionamiento del sistema educativo Distrital.El pago de la nómina oportuno para todos los docentes directivos, docentes y personal administrativo de las instituciones educativas.El giro que se le debe reconocer a los establecimientos educativos con toda la oportunidad y celeridad. En el componente de cobertura de riesgos laborales tenemos 43 000 estudiantes beneficiados en media técnica, cerca de 8000 estudiantes beneficiados como estudiantes con discapacidad. La certificación de la cobertura contratada por más de 30 000 cupos de los cuales el 80 % lo financia el SGP, el restante hace parte de recursos propios.Aproximadamente 11 000 estudiantes beneficiarios en transporte escolar, también como lo decía ahora, cerca de un 35 % de ese componente lo cubre los recursos del SGP”. Intervino el subsecretario administrativo y financiero de la secretaría de Salud, Alejandro Posada Jiménez:</w:t>
      </w:r>
    </w:p>
    <w:p>
      <w:pPr>
        <w:spacing w:after="240" w:line="300"/>
        <w:ind w:left="720" w:right="720"/>
        <w:jc w:val="both"/>
      </w:pPr>
      <w:r>
        <w:rPr>
          <w:rFonts w:ascii="Arial" w:cs="Arial" w:eastAsia="Arial" w:hAnsi="Arial"/>
          <w:sz w:val="22"/>
          <w:szCs w:val="22"/>
        </w:rPr>
        <w:t xml:space="preserve">“La secretaría de Salud, como ya lo informó la secretaría de Hacienda, en su presupuesto inicial para el 2024 recibió por el SGP $ 465 000 millones y para 2025 566 000, y para tener una idea el SGP en materia de salud tiene tres componentes:Garantizar el aseguramiento en salud, que podamos garantizar la afiliación de las personas que están en el régimen subsidio y pagar correspondientemente la UPC (Unidad de pago por capitación). En materia de salud pública, garantizar la financiación de las acciones colectivas.Subsidio a la oferta, que es atender los servicios de salud de la población pobre no asegurada. Siguiendo la estructura del plan de desarrollo, distribuimos el SGP en cuatro programas y 7 proyectos de la siguiente manera:</w:t>
      </w:r>
    </w:p>
    <w:p>
      <w:pPr>
        <w:spacing w:after="240" w:line="360"/>
        <w:jc w:val="both"/>
      </w:pPr>
      <w:r>
        <w:rPr>
          <w:rFonts w:ascii="Arial" w:cs="Arial" w:eastAsia="Arial" w:hAnsi="Arial"/>
          <w:sz w:val="24"/>
          <w:szCs w:val="24"/>
        </w:rPr>
        <w:t xml:space="preserve">En mantenimiento y aseguramiento de la salud, que es donde está casi el 94 % de los recursos del SGP, esto lo utilizamos -como lo estaba afirmando ahora- para garantizar la afiliación de las personas que están en el régimen subsidiado y el pago correspondiente de la UPC.</w:t>
      </w:r>
    </w:p>
    <w:p>
      <w:pPr>
        <w:spacing w:after="240" w:line="360"/>
        <w:jc w:val="both"/>
      </w:pPr>
      <w:r>
        <w:rPr>
          <w:rFonts w:ascii="Arial" w:cs="Arial" w:eastAsia="Arial" w:hAnsi="Arial"/>
          <w:sz w:val="24"/>
          <w:szCs w:val="24"/>
        </w:rPr>
        <w:t xml:space="preserve">Muy parecido a lo que pasa en la secretaría de Educación, este recurso no entra al presupuesto del Distrito, pasa sin situación de fondo y les compartimos algunos de los logros que este programa ha tenido durante las vigencias 2024 y 2025.</w:t>
      </w:r>
    </w:p>
    <w:p>
      <w:pPr>
        <w:spacing w:after="240" w:line="360"/>
        <w:jc w:val="both"/>
      </w:pPr>
      <w:r>
        <w:rPr>
          <w:rFonts w:ascii="Arial" w:cs="Arial" w:eastAsia="Arial" w:hAnsi="Arial"/>
          <w:sz w:val="24"/>
          <w:szCs w:val="24"/>
        </w:rPr>
        <w:t xml:space="preserve">Tal vez el más relevante es mantener la cobertura superior al 100 % del aseguramiento en salud en la ciudad de Medellín:</w:t>
      </w:r>
    </w:p>
    <w:p>
      <w:pPr>
        <w:spacing w:after="100"/>
      </w:pPr>
    </w:p>
    <w:p>
      <w:pPr>
        <w:spacing w:before="200" w:after="200"/>
        <w:jc w:val="center"/>
      </w:pPr>
      <w:r>
        <w:drawing>
          <wp:inline distT="0" distB="0" distL="0" distR="0">
            <wp:extent cx="4286250" cy="1828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4286250" cy="18288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Un segundo programa es Medellín Te Quiere Saludable donde hay dos proyectos:Medellín Te Quiere Saludable, mediante la cual ejecutamos todo el plan de intervenciones colectivas, hemos atendido a más de 72 500 familias, más de 80 000 intervenciones en instituciones educativas; y en general acciones todas tendientes a garantizar la atención en salud mental, coberturas en vacunación, entre otras.Fortalecimiento de las capacidades técnicas en salud, lo que hacemos es garantizar la capacitación a estas instituciones promotoras de servicios de salud con los programas de EAPB (Entidades Administradoras de Planes de Beneficios). Ahí pueden ver los logros que se han obtenido durante estas vigencias:</w:t>
      </w:r>
    </w:p>
    <w:p>
      <w:pPr>
        <w:spacing w:before="200" w:after="200"/>
        <w:jc w:val="center"/>
      </w:pPr>
      <w:r>
        <w:drawing>
          <wp:inline distT="0" distB="0" distL="0" distR="0">
            <wp:extent cx="4286250" cy="13144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4286250" cy="1314450"/>
                    </a:xfrm>
                    <a:prstGeom prst="rect">
                      <a:avLst/>
                    </a:prstGeom>
                  </pic:spPr>
                </pic:pic>
              </a:graphicData>
            </a:graphic>
          </wp:inline>
        </w:drawing>
      </w:r>
    </w:p>
    <w:p>
      <w:pPr>
        <w:spacing w:after="240" w:line="360"/>
        <w:jc w:val="both"/>
      </w:pPr>
      <w:r>
        <w:rPr>
          <w:rFonts w:ascii="Arial" w:cs="Arial" w:eastAsia="Arial" w:hAnsi="Arial"/>
          <w:sz w:val="24"/>
          <w:szCs w:val="24"/>
        </w:rPr>
        <w:t xml:space="preserve">Otro programa que financiamos con recursos del SGP es el de vigilancia en salud pública. Aquí tenemos un proyecto que es de control, eliminación y erradicación de todos los factores de riesgo. Aquí podemos ver todo lo que tiene que ver con la vigilancia epidemiológica destacando el porcentaje de vacunación:</w:t>
      </w:r>
    </w:p>
    <w:p>
      <w:pPr>
        <w:spacing w:before="200" w:after="200"/>
        <w:jc w:val="center"/>
      </w:pPr>
      <w:r>
        <w:drawing>
          <wp:inline distT="0" distB="0" distL="0" distR="0">
            <wp:extent cx="4286250" cy="22669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4286250" cy="2266950"/>
                    </a:xfrm>
                    <a:prstGeom prst="rect">
                      <a:avLst/>
                    </a:prstGeom>
                  </pic:spPr>
                </pic:pic>
              </a:graphicData>
            </a:graphic>
          </wp:inline>
        </w:drawing>
      </w:r>
    </w:p>
    <w:p>
      <w:pPr>
        <w:spacing w:after="240" w:line="360"/>
        <w:jc w:val="both"/>
      </w:pPr>
      <w:r>
        <w:rPr>
          <w:rFonts w:ascii="Arial" w:cs="Arial" w:eastAsia="Arial" w:hAnsi="Arial"/>
          <w:sz w:val="24"/>
          <w:szCs w:val="24"/>
        </w:rPr>
        <w:t xml:space="preserve">Salud ambiental. En este programa tenemos tres proyectos financiados con recursos del SGP. El primer proyecto es el que tiene que ver con el control de factores de riesgo asociados a vectores y a zoonosis:</w:t>
      </w:r>
    </w:p>
    <w:p>
      <w:pPr>
        <w:spacing w:before="200" w:after="200"/>
        <w:jc w:val="center"/>
      </w:pPr>
      <w:r>
        <w:drawing>
          <wp:inline distT="0" distB="0" distL="0" distR="0">
            <wp:extent cx="4286250" cy="1952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4286250" cy="195262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El segundo es la implementación del Programa PISA (Política Integral de Salud Ambiental):</w:t>
      </w:r>
    </w:p>
    <w:p>
      <w:pPr>
        <w:spacing w:after="100"/>
      </w:pPr>
    </w:p>
    <w:p>
      <w:pPr>
        <w:spacing w:before="200" w:after="200"/>
        <w:jc w:val="center"/>
      </w:pPr>
      <w:r>
        <w:drawing>
          <wp:inline distT="0" distB="0" distL="0" distR="0">
            <wp:extent cx="4286250" cy="1962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4286250" cy="196215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Y la implementación de inspección, vigilancia y control de factores de riesgo. Aquí hacemos todo lo que tiene que ver con las acciones de inspección, vigilancia y control sanitario:</w:t>
      </w:r>
    </w:p>
    <w:p>
      <w:pPr>
        <w:spacing w:after="100"/>
      </w:pPr>
    </w:p>
    <w:p>
      <w:pPr>
        <w:spacing w:before="200" w:after="200"/>
        <w:jc w:val="center"/>
      </w:pPr>
      <w:r>
        <w:drawing>
          <wp:inline distT="0" distB="0" distL="0" distR="0">
            <wp:extent cx="4286250" cy="2057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4286250" cy="20574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Entre los principales logros. mantener las coberturas de las visitas, labores de inspección, vigilancia y control de orden sanitario reduciendo los riesgos asociados a la salud pública”.</w:t>
      </w:r>
    </w:p>
    <w:p>
      <w:pPr>
        <w:spacing w:before="400" w:after="200" w:line="360"/>
        <w:jc w:val="left"/>
      </w:pPr>
      <w:r>
        <w:rPr>
          <w:rFonts w:ascii="Arial" w:cs="Arial" w:eastAsia="Arial" w:hAnsi="Arial"/>
          <w:b/>
          <w:bCs/>
          <w:sz w:val="24"/>
          <w:szCs w:val="24"/>
        </w:rPr>
        <w:t xml:space="preserve">Intervino la subsecretaria de Servicios Públicos, Manuela García Gil:</w:t>
      </w:r>
    </w:p>
    <w:p>
      <w:pPr>
        <w:spacing w:after="240" w:line="300"/>
        <w:ind w:left="720" w:right="720"/>
        <w:jc w:val="both"/>
      </w:pPr>
      <w:r>
        <w:rPr>
          <w:rFonts w:ascii="Arial" w:cs="Arial" w:eastAsia="Arial" w:hAnsi="Arial"/>
          <w:sz w:val="22"/>
          <w:szCs w:val="22"/>
        </w:rPr>
        <w:t xml:space="preserve">“Me excuso por mi armoniosa voz, estoy un poco enferma. En la secretaría de Gestión y Control Territorial efectivamente recibimos recursos del SGP, todos están destinados a la subsecretaría de Servicios Públicos. El presupuesto asignado total para 2024 fue de $ 39 103 millones y para 2025 va en una asignación de $ 45 424 millones.</w:t>
      </w:r>
    </w:p>
    <w:p>
      <w:pPr>
        <w:spacing w:after="240" w:line="360"/>
        <w:jc w:val="both"/>
      </w:pPr>
      <w:r>
        <w:rPr>
          <w:rFonts w:ascii="Arial" w:cs="Arial" w:eastAsia="Arial" w:hAnsi="Arial"/>
          <w:sz w:val="24"/>
          <w:szCs w:val="24"/>
        </w:rPr>
        <w:t xml:space="preserve">Del presupuesto inicial que se asignó en 2024, los proyectos que se financiaron a través de este recurso lo primero fue para todos los subsidios que tienen que ver con el alcantarillado, acueducto y aseo, fueron $ 26 993 millones y ejecutamos 25 224; no ejecutamos la última onceava porque no pudimos, llegó muy al final del año, pero como bien sabrán son recursos de libre destinación y pasan a 2025 sin ningún inconveniente.</w:t>
      </w:r>
    </w:p>
    <w:p>
      <w:pPr>
        <w:spacing w:after="240" w:line="360"/>
        <w:jc w:val="both"/>
      </w:pPr>
      <w:r>
        <w:rPr>
          <w:rFonts w:ascii="Arial" w:cs="Arial" w:eastAsia="Arial" w:hAnsi="Arial"/>
          <w:sz w:val="24"/>
          <w:szCs w:val="24"/>
        </w:rPr>
        <w:t xml:space="preserve">Recordemos que los subsidios de acueducto, alcantarillado y aseo es lo que denominamos FSRI (Fondo de Solidaridad y Redistribución del Ingreso), que lo que busca es precisamente aliviar la tarifa en servicios públicos a las viviendas de estratos 1, 2 y 3. El recurso se distribuye tanto para las viviendas en ubicación rural como urbana.</w:t>
      </w:r>
    </w:p>
    <w:p>
      <w:pPr>
        <w:spacing w:after="240" w:line="360"/>
        <w:jc w:val="both"/>
      </w:pPr>
      <w:r>
        <w:rPr>
          <w:rFonts w:ascii="Arial" w:cs="Arial" w:eastAsia="Arial" w:hAnsi="Arial"/>
          <w:sz w:val="24"/>
          <w:szCs w:val="24"/>
        </w:rPr>
        <w:t xml:space="preserve">Dentro de estos beneficios, encontramos que fueron beneficiadas para el servicio de acueducto 314 693 viviendas; para el servicio de alcantarillado 294 507 viviendas; y el servicio de aseo 262 888 viviendas.</w:t>
      </w:r>
    </w:p>
    <w:p>
      <w:pPr>
        <w:spacing w:after="240" w:line="360"/>
        <w:jc w:val="both"/>
      </w:pPr>
      <w:r>
        <w:rPr>
          <w:rFonts w:ascii="Arial" w:cs="Arial" w:eastAsia="Arial" w:hAnsi="Arial"/>
          <w:sz w:val="24"/>
          <w:szCs w:val="24"/>
        </w:rPr>
        <w:t xml:space="preserve">También destinamos recursos a la ampliación de la cobertura en servicios públicos de acueducto y alcantarillado, específicamente $ 3000 millones se sumaron al Proyecto Unidos por el Agua, recordemos que tenemos como meta Distrital beneficiar a 50 000 hogares para que tengan acceso a una conexión legal de servicio, ya sea de agua potable y/o alcantarillado. Esta iniciativa está dirigida principalmente a hogares de estrato 1, 2 y 3, haciendo especial énfasis en fomentar la cultura de la legalidad y el cuidado del agua; aquí el gran logro que tuvimos en 2024 fue que cerramos el año con 5479 hogares que ahora cuentan con soluciones de acceso al servicio de agua potable, garantizando todo el tiempo la calidad del agua que estos hogares consumen.</w:t>
      </w:r>
    </w:p>
    <w:p>
      <w:pPr>
        <w:spacing w:after="240" w:line="360"/>
        <w:jc w:val="both"/>
      </w:pPr>
      <w:r>
        <w:rPr>
          <w:rFonts w:ascii="Arial" w:cs="Arial" w:eastAsia="Arial" w:hAnsi="Arial"/>
          <w:sz w:val="24"/>
          <w:szCs w:val="24"/>
        </w:rPr>
        <w:t xml:space="preserve">Otro proyecto que es financiado a través de recursos del SGP, es el de estrategias de agua potable y aguas residuales, se asignaron inicialmente $ 9109 millones, y adelantamos todas las obras que permiten la cobertura en estos servicios de acueducto y alcantarillado. Aquí les tenemos una lista de los proyectos que se financiaron en 2024:</w:t>
      </w:r>
    </w:p>
    <w:p>
      <w:pPr>
        <w:spacing w:after="100"/>
      </w:pPr>
    </w:p>
    <w:p>
      <w:pPr>
        <w:spacing w:before="200" w:after="200"/>
        <w:jc w:val="center"/>
      </w:pPr>
      <w:r>
        <w:drawing>
          <wp:inline distT="0" distB="0" distL="0" distR="0">
            <wp:extent cx="4286250" cy="24574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4286250" cy="245745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Entiéndase el contrato de carro tanques, que es cuando tenemos alguna emergencia ambiental o se interrumpe la prestación del servicio por alguna razón y cubrimos la necesidad básica del mínimo.</w:t>
      </w:r>
    </w:p>
    <w:p>
      <w:pPr>
        <w:spacing w:after="240" w:line="360"/>
        <w:jc w:val="both"/>
      </w:pPr>
      <w:r>
        <w:rPr>
          <w:rFonts w:ascii="Arial" w:cs="Arial" w:eastAsia="Arial" w:hAnsi="Arial"/>
          <w:sz w:val="24"/>
          <w:szCs w:val="24"/>
        </w:rPr>
        <w:t xml:space="preserve">En el PTAR (Planta de Tratamiento de Aguas Residuales) de Santa Elena la inversión fue muy importante porque es tecnología europea de último renglón, con la finalidad de entregar el agua en la mejor condición posible nuevamente a la quebrada.</w:t>
      </w:r>
    </w:p>
    <w:p>
      <w:pPr>
        <w:spacing w:after="240" w:line="360"/>
        <w:jc w:val="both"/>
      </w:pPr>
      <w:r>
        <w:rPr>
          <w:rFonts w:ascii="Arial" w:cs="Arial" w:eastAsia="Arial" w:hAnsi="Arial"/>
          <w:sz w:val="24"/>
          <w:szCs w:val="24"/>
        </w:rPr>
        <w:t xml:space="preserve">En San Sebastián de Palmitas fue una obra de alcantarillado, es uno de los corregimientos que en este momento tiene menor porcentaje de cobertura en agua potable y alcantarillado.</w:t>
      </w:r>
    </w:p>
    <w:p>
      <w:pPr>
        <w:spacing w:after="240" w:line="360"/>
        <w:jc w:val="both"/>
      </w:pPr>
      <w:r>
        <w:rPr>
          <w:rFonts w:ascii="Arial" w:cs="Arial" w:eastAsia="Arial" w:hAnsi="Arial"/>
          <w:sz w:val="24"/>
          <w:szCs w:val="24"/>
        </w:rPr>
        <w:t xml:space="preserve">Dentro de los logros alcanzados para la vigencia 2024 tenemos que 379 usuarios contaron con soluciones de agua potable, y 36 usuarios con soluciones de saneamiento básico.</w:t>
      </w:r>
    </w:p>
    <w:p>
      <w:pPr>
        <w:spacing w:after="240" w:line="360"/>
        <w:jc w:val="both"/>
      </w:pPr>
      <w:r>
        <w:rPr>
          <w:rFonts w:ascii="Arial" w:cs="Arial" w:eastAsia="Arial" w:hAnsi="Arial"/>
          <w:sz w:val="24"/>
          <w:szCs w:val="24"/>
        </w:rPr>
        <w:t xml:space="preserve">Para la vigencia 2025 los $ 45 000 millones que a la fecha hemos recibido se destinaron como presupuesto inicial para la implementación de subsidios de agua potable, alcantarillado y saneamiento básico, que es el fondo de solidaridad para estratos 1, 2 y 3:</w:t>
      </w:r>
    </w:p>
    <w:p>
      <w:pPr>
        <w:spacing w:after="100"/>
      </w:pPr>
    </w:p>
    <w:p>
      <w:pPr>
        <w:spacing w:before="200" w:after="200"/>
        <w:jc w:val="center"/>
      </w:pPr>
      <w:r>
        <w:drawing>
          <wp:inline distT="0" distB="0" distL="0" distR="0">
            <wp:extent cx="4286250" cy="19907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4286250" cy="1990725"/>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Recordemos que la proyección que tenemos para finalizar el año es que efectivamente se ejecuten todos los recursos asignados.</w:t>
      </w:r>
    </w:p>
    <w:p>
      <w:pPr>
        <w:spacing w:after="240" w:line="360"/>
        <w:jc w:val="both"/>
      </w:pPr>
      <w:r>
        <w:rPr>
          <w:rFonts w:ascii="Arial" w:cs="Arial" w:eastAsia="Arial" w:hAnsi="Arial"/>
          <w:sz w:val="24"/>
          <w:szCs w:val="24"/>
        </w:rPr>
        <w:t xml:space="preserve">Buscamos con esto beneficiar a las familias de los estratos 1, 2 y 3, y aliviar la factura de servicios públicos en estos tres renglones, recordemos que tenemos dependiendo del estrato subsidios de hasta el 80 %, y dependiendo también del tipo de servicio que les brindemos. Esos $ 6000 millones que nos quedan pendientes, según la proyección, los vamos a terminar de ejecutar sin ningún inconveniente en noviembre y diciembre.</w:t>
      </w:r>
    </w:p>
    <w:p>
      <w:pPr>
        <w:spacing w:after="240" w:line="360"/>
        <w:jc w:val="both"/>
      </w:pPr>
      <w:r>
        <w:rPr>
          <w:rFonts w:ascii="Arial" w:cs="Arial" w:eastAsia="Arial" w:hAnsi="Arial"/>
          <w:sz w:val="24"/>
          <w:szCs w:val="24"/>
        </w:rPr>
        <w:t xml:space="preserve">Logros alcanzados para 2025: en el servicio de acueducto 434 000 viviendas beneficiadas, en el servicio de alcantarillado 4558 viviendas, y en el servicio de aseo 413 626 viviendas. Y uno muy importante es que con estos recursos del SGP tenemos:</w:t>
      </w:r>
    </w:p>
    <w:p>
      <w:pPr>
        <w:spacing w:after="100"/>
      </w:pPr>
    </w:p>
    <w:p>
      <w:pPr>
        <w:spacing w:before="200" w:after="200"/>
        <w:jc w:val="center"/>
      </w:pPr>
      <w:r>
        <w:drawing>
          <wp:inline distT="0" distB="0" distL="0" distR="0">
            <wp:extent cx="4286250" cy="24574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4286250" cy="245745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Es para atender las obras que tuvimos que entrar a repotenciar y en algunos casos cambiar completamente la infraestructura, en las zonas que se vieron afectadas con el tema de la urgencia manifiesta que tuvimos entre abril y mayo. En este momento y a partir de esas obras, tuvimos aproximadamente 15 frentes de obra:</w:t>
      </w:r>
    </w:p>
    <w:p>
      <w:pPr>
        <w:spacing w:after="100"/>
      </w:pPr>
    </w:p>
    <w:p>
      <w:pPr>
        <w:spacing w:before="200" w:after="200"/>
        <w:jc w:val="center"/>
      </w:pPr>
      <w:r>
        <w:drawing>
          <wp:inline distT="0" distB="0" distL="0" distR="0">
            <wp:extent cx="4286250" cy="22669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4286250" cy="226695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Y tenemos con perspectivas de terminarse entre enero y febrero: la PTAR de Buga, La Escolástica, Aguas Frías, Manzanillo, La Sorbetana, Manantial, El Vergel y Los Rieles; y el acueducto La China que requiere un viaducto importante. Estaremos atentos desde la secretaría de Gestión y Control Territorial por si tienen alguna inquietud al respecto”.</w:t>
      </w:r>
    </w:p>
    <w:p>
      <w:pPr>
        <w:spacing w:before="400" w:after="200" w:line="360"/>
        <w:jc w:val="left"/>
      </w:pPr>
      <w:r>
        <w:rPr>
          <w:rFonts w:ascii="Arial" w:cs="Arial" w:eastAsia="Arial" w:hAnsi="Arial"/>
          <w:b/>
          <w:bCs/>
          <w:sz w:val="24"/>
          <w:szCs w:val="24"/>
        </w:rPr>
        <w:t xml:space="preserve">Intervino el subdirector de escenarios del Inder (Instituto de Deportes y Recreación de Medellín), Carlos Alejandro Monsalve Toro:</w:t>
      </w:r>
    </w:p>
    <w:p>
      <w:pPr>
        <w:spacing w:after="240" w:line="300"/>
        <w:ind w:left="720" w:right="720"/>
        <w:jc w:val="both"/>
      </w:pPr>
      <w:r>
        <w:rPr>
          <w:rFonts w:ascii="Arial" w:cs="Arial" w:eastAsia="Arial" w:hAnsi="Arial"/>
          <w:sz w:val="22"/>
          <w:szCs w:val="22"/>
        </w:rPr>
        <w:t xml:space="preserve">“Dentro del SGP, para nosotros es una de las fuentes de financiación dentro del instituto…</w:t>
      </w:r>
    </w:p>
    <w:p>
      <w:pPr>
        <w:spacing w:after="240" w:line="360"/>
        <w:jc w:val="both"/>
      </w:pPr>
      <w:r>
        <w:rPr>
          <w:rFonts w:ascii="Arial" w:cs="Arial" w:eastAsia="Arial" w:hAnsi="Arial"/>
          <w:sz w:val="24"/>
          <w:szCs w:val="24"/>
        </w:rPr>
        <w:t xml:space="preserve">Sandra Soto</w:t>
      </w:r>
    </w:p>
    <w:p>
      <w:pPr>
        <w:spacing w:before="400" w:after="200" w:line="360"/>
        <w:jc w:val="left"/>
      </w:pPr>
      <w:r>
        <w:rPr>
          <w:rFonts w:ascii="Arial" w:cs="Arial" w:eastAsia="Arial" w:hAnsi="Arial"/>
          <w:b/>
          <w:bCs/>
          <w:sz w:val="24"/>
          <w:szCs w:val="24"/>
        </w:rPr>
        <w:t xml:space="preserve">Intervino el subdirector de escenarios Inder Medellín, Carlos Monsalve:</w:t>
      </w:r>
    </w:p>
    <w:p>
      <w:pPr>
        <w:spacing w:after="240" w:line="300"/>
        <w:ind w:left="720" w:right="720"/>
        <w:jc w:val="both"/>
      </w:pPr>
      <w:r>
        <w:rPr>
          <w:rFonts w:ascii="Arial" w:cs="Arial" w:eastAsia="Arial" w:hAnsi="Arial"/>
          <w:sz w:val="22"/>
          <w:szCs w:val="22"/>
        </w:rPr>
        <w:t xml:space="preserve">“El sistema general de participación para nosotros es una de las fuentes de financiación como dentro del instituto. De las dos vigencias, año 24 y 25 hemos tenido una inversión total por $ 22 581 millones, para el año 2024 hubo un recibo de inversión por $ 10 411 millones, estos fueron destinados a obras de mantenimiento de zonas verdes dentro del distrito, que es por ejemplo la cancha del estadio Atanasio Girardot, el estadio Cincuentenario, la grama natural de la Unidad Deportiva de Belén y zonas verdes que están aledañas a todos los escenarios de nosotros y que administra el Inder Medellín.</w:t>
      </w:r>
    </w:p>
    <w:p>
      <w:pPr>
        <w:spacing w:after="240" w:line="360"/>
        <w:jc w:val="both"/>
      </w:pPr>
      <w:r>
        <w:rPr>
          <w:rFonts w:ascii="Arial" w:cs="Arial" w:eastAsia="Arial" w:hAnsi="Arial"/>
          <w:sz w:val="24"/>
          <w:szCs w:val="24"/>
        </w:rPr>
        <w:t xml:space="preserve">Adicional a este contrato también estaba el mantenimiento de canchas en grama sintética, la recuperación de ellas, la última fue la cancha de Caunces de Oriente, era una cancha de arenilla y la llevamos a grama sintética, fue una inversión de $ 9 622 millones.</w:t>
      </w:r>
    </w:p>
    <w:p>
      <w:pPr>
        <w:spacing w:after="240" w:line="360"/>
        <w:jc w:val="both"/>
      </w:pPr>
      <w:r>
        <w:rPr>
          <w:rFonts w:ascii="Arial" w:cs="Arial" w:eastAsia="Arial" w:hAnsi="Arial"/>
          <w:sz w:val="24"/>
          <w:szCs w:val="24"/>
        </w:rPr>
        <w:t xml:space="preserve">Ya para el año 2025 la inversión es de $ 12 131 millones, está partida en tres contratos: un primer contrato que, incluso para la concejala Janeth, es en placa de Aragón, uno de los recursos adicionales a Presupuesto Participativo, donde estamos interviniendo en placas polideportivas, en San Antonio de Prado tenemos la placa de Aragón. Dentro del otro contrato está mantenimiento de sedes del Inder, ludotecas, núcleos recreativos. Y en el último contrato está otro mantenimiento que es de gramas sintéticas, que otra cancha que acabamos de entregar fue la de Santa Inés, donde estuvieron varios concejales acompañándonos en el recibo de este escenario”.</w:t>
      </w:r>
    </w:p>
    <w:p>
      <w:pPr>
        <w:spacing w:before="400" w:after="200" w:line="360"/>
        <w:jc w:val="left"/>
      </w:pPr>
      <w:r>
        <w:rPr>
          <w:rFonts w:ascii="Arial" w:cs="Arial" w:eastAsia="Arial" w:hAnsi="Arial"/>
          <w:b/>
          <w:bCs/>
          <w:sz w:val="24"/>
          <w:szCs w:val="24"/>
        </w:rPr>
        <w:t xml:space="preserve">Intervino el presidente Sebastián López Valencia:</w:t>
      </w:r>
    </w:p>
    <w:p>
      <w:pPr>
        <w:spacing w:after="240" w:line="300"/>
        <w:ind w:left="720" w:right="720"/>
        <w:jc w:val="both"/>
      </w:pPr>
      <w:r>
        <w:rPr>
          <w:rFonts w:ascii="Arial" w:cs="Arial" w:eastAsia="Arial" w:hAnsi="Arial"/>
          <w:sz w:val="22"/>
          <w:szCs w:val="22"/>
        </w:rPr>
        <w:t xml:space="preserve">“Ahora vamos a la intervención de los concejales que ha solicitado la palabra”.</w:t>
      </w:r>
    </w:p>
    <w:p>
      <w:pPr>
        <w:spacing w:before="400" w:after="200" w:line="360"/>
        <w:jc w:val="left"/>
      </w:pPr>
      <w:r>
        <w:rPr>
          <w:rFonts w:ascii="Arial" w:cs="Arial" w:eastAsia="Arial" w:hAnsi="Arial"/>
          <w:b/>
          <w:bCs/>
          <w:sz w:val="24"/>
          <w:szCs w:val="24"/>
        </w:rPr>
        <w:t xml:space="preserve">Intervino la concejal Camila Gaviria Barreneche:</w:t>
      </w:r>
    </w:p>
    <w:p>
      <w:pPr>
        <w:spacing w:after="240" w:line="300"/>
        <w:ind w:left="720" w:right="720"/>
        <w:jc w:val="both"/>
      </w:pPr>
      <w:r>
        <w:rPr>
          <w:rFonts w:ascii="Arial" w:cs="Arial" w:eastAsia="Arial" w:hAnsi="Arial"/>
          <w:sz w:val="22"/>
          <w:szCs w:val="22"/>
        </w:rPr>
        <w:t xml:space="preserve">“Agradeciendo enormemente la voluntad de la secretaría de Hacienda con la inversión de los recursos SGP (Sistema General de Participaciones), aquí vemos un interés importante, sobre todo en la población que represento, que es una de las más beneficiadas con la inversión de estos recursos.</w:t>
      </w:r>
    </w:p>
    <w:p>
      <w:pPr>
        <w:spacing w:after="240" w:line="360"/>
        <w:jc w:val="both"/>
      </w:pPr>
      <w:r>
        <w:rPr>
          <w:rFonts w:ascii="Arial" w:cs="Arial" w:eastAsia="Arial" w:hAnsi="Arial"/>
          <w:sz w:val="24"/>
          <w:szCs w:val="24"/>
        </w:rPr>
        <w:t xml:space="preserve">Yo quisiera centrarme puntualmente en la Unidad Administrativa Buen Comienzo y en un proyecto que surge bajo el liderazgo de Federico Gutiérrez en esta Administración y es el proyecto de «Nutrir para sanar, sanar para crecer».</w:t>
      </w:r>
    </w:p>
    <w:p>
      <w:pPr>
        <w:spacing w:after="240" w:line="360"/>
        <w:jc w:val="both"/>
      </w:pPr>
      <w:r>
        <w:rPr>
          <w:rFonts w:ascii="Arial" w:cs="Arial" w:eastAsia="Arial" w:hAnsi="Arial"/>
          <w:sz w:val="24"/>
          <w:szCs w:val="24"/>
        </w:rPr>
        <w:t xml:space="preserve">En el 2024 este proyecto dentro de la Unidad Administrativa Buen Comienzo tuvo una inversión de 9527 millones de pesos, donde se pudieron acompañar más de 18 000 niños, posteriormente en el 2025 gracias a los recursos del Sistema General de Participación se obtienen a la fecha de octubre 11 496 millones de pesos, acompañando a más de 16 000 niños.</w:t>
      </w:r>
    </w:p>
    <w:p>
      <w:pPr>
        <w:spacing w:after="240" w:line="360"/>
        <w:jc w:val="both"/>
      </w:pPr>
      <w:r>
        <w:rPr>
          <w:rFonts w:ascii="Arial" w:cs="Arial" w:eastAsia="Arial" w:hAnsi="Arial"/>
          <w:sz w:val="24"/>
          <w:szCs w:val="24"/>
        </w:rPr>
        <w:t xml:space="preserve">Aquí es importante analizar estas cifras de inversión cómo se ven incluidas o cómo repercuten realmente en el acompañamiento de los niños en su proceso de desarrollo.</w:t>
      </w:r>
    </w:p>
    <w:p>
      <w:pPr>
        <w:spacing w:after="240" w:line="360"/>
        <w:jc w:val="both"/>
      </w:pPr>
      <w:r>
        <w:rPr>
          <w:rFonts w:ascii="Arial" w:cs="Arial" w:eastAsia="Arial" w:hAnsi="Arial"/>
          <w:sz w:val="24"/>
          <w:szCs w:val="24"/>
        </w:rPr>
        <w:t xml:space="preserve">Aquí hay un punto importante, quisiera presentarles los indicadores de desnutrición que hoy tiene el Distrito de Medellín y que están enfocadas a esta inversión que se ha hecho, ustedes saben que los recursos SGP son de libre destinación y se ha puesto en marcha un análisis exhaustivo sobre el proceso de desarrollo de los niños en su nivel de desnutrición.</w:t>
      </w:r>
    </w:p>
    <w:p>
      <w:pPr>
        <w:spacing w:after="240" w:line="360"/>
        <w:jc w:val="both"/>
      </w:pPr>
      <w:r>
        <w:rPr>
          <w:rFonts w:ascii="Arial" w:cs="Arial" w:eastAsia="Arial" w:hAnsi="Arial"/>
          <w:sz w:val="24"/>
          <w:szCs w:val="24"/>
        </w:rPr>
        <w:t xml:space="preserve">Cuando se recibe la Administración en el 2024 se comienza a analizar a profundidad los indicadores de desnutrición, aquí vemos cómo la línea naranja muestra el 2024 y la línea azul el 2025, se empiezan a analizar las cifras y los indicadores y vemos que en el 24 arrancamos con 9.1 % desnutrición y en el 2025 con 11.1 %:</w:t>
      </w:r>
    </w:p>
    <w:p>
      <w:pPr>
        <w:spacing w:after="100"/>
      </w:pPr>
    </w:p>
    <w:p>
      <w:pPr>
        <w:spacing w:before="200" w:after="200"/>
        <w:jc w:val="center"/>
      </w:pPr>
      <w:r>
        <w:drawing>
          <wp:inline distT="0" distB="0" distL="0" distR="0">
            <wp:extent cx="4286250" cy="22479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4286250" cy="22479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Probablemente esa era la cifra real que se tenía en el 23, por eso se hizo esa investigación hasta lograr una cifra exhaustiva. Sabemos que la Administración anterior a la de Federico generalmente utilizaba indicadores y cifras que no tenían una justificación, al darse cuenta en la plataforma del Sistema de Seguimiento Nutricional Infantil (SENIN), que es el proceso de la secretaría de Salud y donde se analiza puntualmente estas estrategias, nos dimos cuenta que esta cifra ha venido disminuyendo gracias al proyecto de «Nutrir para sanar, sanar para crecer».</w:t>
      </w:r>
    </w:p>
    <w:p>
      <w:pPr>
        <w:spacing w:after="240" w:line="360"/>
        <w:jc w:val="both"/>
      </w:pPr>
      <w:r>
        <w:rPr>
          <w:rFonts w:ascii="Arial" w:cs="Arial" w:eastAsia="Arial" w:hAnsi="Arial"/>
          <w:sz w:val="24"/>
          <w:szCs w:val="24"/>
        </w:rPr>
        <w:t xml:space="preserve">Dentro del plan de desarrollo, justamente cuando se estaba realizando el escenario de definición de cifras y de metas alcanzadas, hablábamos de un 8.7 % de desnutrición en Medellín, una cifra bastante ambiciosa, los que conocemos este proceso con relación a la desnutrición crónica, les recuerdo que la desnutrición crónica es la que no lleva a la muerte del niño, sino que posteriormente lo va deteriorando e impide su desarrollo no solamente cognitivo, sino también físico y emocional, y a futuro y a largo plazo no tiene una posibilidad de generar recursos económicos para sí mismo porque no tiene habilidades cognitivas que permitan su proceso y su desarrollo.</w:t>
      </w:r>
    </w:p>
    <w:p>
      <w:pPr>
        <w:spacing w:after="240" w:line="360"/>
        <w:jc w:val="both"/>
      </w:pPr>
      <w:r>
        <w:rPr>
          <w:rFonts w:ascii="Arial" w:cs="Arial" w:eastAsia="Arial" w:hAnsi="Arial"/>
          <w:sz w:val="24"/>
          <w:szCs w:val="24"/>
        </w:rPr>
        <w:t xml:space="preserve">Aquí entonces vemos cómo el Distrito en el 2025 ha alcanzado ya esa meta de 8.7 % de desnutrición, esta es una cifra histórica que la ciudad nunca antes había tenido y que gracias a esa inversión en el proyecto de «Nutrir para sanar, sanar para crecer», esa voluntad política hoy muestra y determina cómo estas estrategias realmente tienen impacto en los territorios.</w:t>
      </w:r>
    </w:p>
    <w:p>
      <w:pPr>
        <w:spacing w:after="240" w:line="360"/>
        <w:jc w:val="both"/>
      </w:pPr>
      <w:r>
        <w:rPr>
          <w:rFonts w:ascii="Arial" w:cs="Arial" w:eastAsia="Arial" w:hAnsi="Arial"/>
          <w:sz w:val="24"/>
          <w:szCs w:val="24"/>
        </w:rPr>
        <w:t xml:space="preserve">Yo quería presentarles esta gráfica porque aquí nos damos cuenta cómo sí ha venido disminuyendo esa desnutrición, cómo de alguna manera aquí nos damos cuenta que esos indicadores sí han permitido ir disminuyendo, ir generando un proceso importante que permite en el 2025 tener unos indicadores de 0.5 % en esos</w:t>
      </w:r>
    </w:p>
    <w:p>
      <w:pPr>
        <w:spacing w:after="240" w:line="360"/>
        <w:jc w:val="both"/>
      </w:pPr>
      <w:r>
        <w:rPr>
          <w:rFonts w:ascii="Arial" w:cs="Arial" w:eastAsia="Arial" w:hAnsi="Arial"/>
          <w:sz w:val="24"/>
          <w:szCs w:val="24"/>
        </w:rPr>
        <w:t xml:space="preserve">comparativos de mes a mes del indicador de desnutrición aguda para niños. Sabemos que la aguda es la que sí mata a los niños, la desnutrición aguda es la que lleva a la muerte al niño y a la niña digamos que en esos primeros años de vida.</w:t>
      </w:r>
    </w:p>
    <w:p>
      <w:pPr>
        <w:spacing w:after="100"/>
      </w:pPr>
    </w:p>
    <w:p>
      <w:pPr>
        <w:spacing w:before="200" w:after="200"/>
        <w:jc w:val="center"/>
      </w:pPr>
      <w:r>
        <w:drawing>
          <wp:inline distT="0" distB="0" distL="0" distR="0">
            <wp:extent cx="4286250" cy="23241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4286250" cy="2324100"/>
                    </a:xfrm>
                    <a:prstGeom prst="rect">
                      <a:avLst/>
                    </a:prstGeom>
                  </pic:spPr>
                </pic:pic>
              </a:graphicData>
            </a:graphic>
          </wp:inline>
        </w:drawing>
      </w:r>
    </w:p>
    <w:p>
      <w:pPr>
        <w:spacing w:after="100"/>
      </w:pPr>
    </w:p>
    <w:p>
      <w:pPr>
        <w:spacing w:after="240" w:line="360"/>
        <w:jc w:val="both"/>
      </w:pPr>
      <w:r>
        <w:rPr>
          <w:rFonts w:ascii="Arial" w:cs="Arial" w:eastAsia="Arial" w:hAnsi="Arial"/>
          <w:sz w:val="24"/>
          <w:szCs w:val="24"/>
        </w:rPr>
        <w:t xml:space="preserve">Yo quisiera también mencionar con relación a esos objetivos que se han venido cumpliendo a través de este proyecto y es pedirle a la Administración mejorar esos indicadores, ya se ha alcanzado la meta, sin embargo, sería importante poder tener la posibilidad de seguirla disminuyendo y fortaleciendo.</w:t>
      </w:r>
    </w:p>
    <w:p>
      <w:pPr>
        <w:spacing w:after="240" w:line="360"/>
        <w:jc w:val="both"/>
      </w:pPr>
      <w:r>
        <w:rPr>
          <w:rFonts w:ascii="Arial" w:cs="Arial" w:eastAsia="Arial" w:hAnsi="Arial"/>
          <w:sz w:val="24"/>
          <w:szCs w:val="24"/>
        </w:rPr>
        <w:t xml:space="preserve">Dirigir también las acciones hacia el indicador de bajo peso al nacer, es un indicador que también tiene un impacto representativo en el proceso de desnutrición. Y aquí también es importante seguir generando y avanzar en esas acciones contra la inseguridad alimentaria que, a su vez, se vienen generando también desde la secretaría de Inclusión con las estrategias que se tiene desde el PAE (Programa de Alimentación Escolar)</w:t>
      </w:r>
    </w:p>
    <w:p>
      <w:pPr>
        <w:spacing w:after="240" w:line="360"/>
        <w:jc w:val="both"/>
      </w:pPr>
      <w:r>
        <w:rPr>
          <w:rFonts w:ascii="Arial" w:cs="Arial" w:eastAsia="Arial" w:hAnsi="Arial"/>
          <w:sz w:val="24"/>
          <w:szCs w:val="24"/>
        </w:rPr>
        <w:t xml:space="preserve">Yo quisiera entonces dejar sobre esta mesa hoy la posibilidad de que se siga invirtiendo para el 2026 estos recursos del Sistema General de Participación en «nutrir para sanar, sanar para crecer», una estrategia que evidentemente está teniendo resultados y que hoy nos presenta una cifra histórica en la ciudad, donde ese 8.7 % de desnutrición crónica nos permite evidenciar que hay un resultado y que esa inversión sí se está viendo, y que la transformación social que buscamos en la población de niños y niñas efectivamente se está generando y es la que buscamos desde esta curul”.</w:t>
      </w:r>
    </w:p>
    <w:p>
      <w:pPr>
        <w:spacing w:before="400" w:after="200" w:line="360"/>
        <w:jc w:val="left"/>
      </w:pPr>
      <w:r>
        <w:rPr>
          <w:rFonts w:ascii="Arial" w:cs="Arial" w:eastAsia="Arial" w:hAnsi="Arial"/>
          <w:b/>
          <w:bCs/>
          <w:sz w:val="24"/>
          <w:szCs w:val="24"/>
        </w:rPr>
        <w:t xml:space="preserve">Intervino el concejal Luis Guillermo de Jesús Vélez Álvarez:</w:t>
      </w:r>
    </w:p>
    <w:p>
      <w:pPr>
        <w:spacing w:after="240" w:line="300"/>
        <w:ind w:left="720" w:right="720"/>
        <w:jc w:val="both"/>
      </w:pPr>
      <w:r>
        <w:rPr>
          <w:rFonts w:ascii="Arial" w:cs="Arial" w:eastAsia="Arial" w:hAnsi="Arial"/>
          <w:sz w:val="22"/>
          <w:szCs w:val="22"/>
        </w:rPr>
        <w:t xml:space="preserve">“Tengo un par de inquietudes, una es con relación a lo de educación. De pronto quisiera que me recordaran cómo es que se asigna ese recurso, si es por capitación o eso está complementado con algo, que no recuerdo muy bien cómo los criterios de asignación de los recursos de Educación del Sistema General de Participaciones.</w:t>
      </w:r>
    </w:p>
    <w:p>
      <w:pPr>
        <w:spacing w:after="240" w:line="360"/>
        <w:jc w:val="both"/>
      </w:pPr>
      <w:r>
        <w:rPr>
          <w:rFonts w:ascii="Arial" w:cs="Arial" w:eastAsia="Arial" w:hAnsi="Arial"/>
          <w:sz w:val="24"/>
          <w:szCs w:val="24"/>
        </w:rPr>
        <w:t xml:space="preserve">Y la otra inquietud es con relación a la bolsita de agua y saneamiento, doctora Manuela, me da la impresión de que buena parte de eso, si no la mayor parte, se va en el subsidio a las tarifas, pero yo entendía que el subsidio a las tarifas se financiaba con las contribuciones muy altas que estamos pagando las familias de estrato 5, 6, el comercio y la industria para financiar, entonces no está alcanzando.</w:t>
      </w:r>
    </w:p>
    <w:p>
      <w:pPr>
        <w:spacing w:after="240" w:line="360"/>
        <w:jc w:val="both"/>
      </w:pPr>
      <w:r>
        <w:rPr>
          <w:rFonts w:ascii="Arial" w:cs="Arial" w:eastAsia="Arial" w:hAnsi="Arial"/>
          <w:sz w:val="24"/>
          <w:szCs w:val="24"/>
        </w:rPr>
        <w:t xml:space="preserve">Y la otra inquietud que tengo tiene que ver con las inversiones. Entonces usted habla de una serie de inversiones que se hacen en plantas de tratamiento, incluso hay una planta de aguas residuales en algún lado, esos activos se entregan a Empresas Públicas de Medellín – EPM, cómo funciona eso y cómo funciona con relación a la tarifa que EPM cobra finalmente a todos sus clientes”.</w:t>
      </w:r>
    </w:p>
    <w:p>
      <w:pPr>
        <w:spacing w:before="400" w:after="200" w:line="360"/>
        <w:jc w:val="left"/>
      </w:pPr>
      <w:r>
        <w:rPr>
          <w:rFonts w:ascii="Arial" w:cs="Arial" w:eastAsia="Arial" w:hAnsi="Arial"/>
          <w:b/>
          <w:bCs/>
          <w:sz w:val="24"/>
          <w:szCs w:val="24"/>
        </w:rPr>
        <w:t xml:space="preserve">Intervino el concejal Farley Jhair Macías Betancur:</w:t>
      </w:r>
    </w:p>
    <w:p>
      <w:pPr>
        <w:spacing w:after="240" w:line="300"/>
        <w:ind w:left="720" w:right="720"/>
        <w:jc w:val="both"/>
      </w:pPr>
      <w:r>
        <w:rPr>
          <w:rFonts w:ascii="Arial" w:cs="Arial" w:eastAsia="Arial" w:hAnsi="Arial"/>
          <w:sz w:val="22"/>
          <w:szCs w:val="22"/>
        </w:rPr>
        <w:t xml:space="preserve">“Inicio con la secretaría de Inclusión Social.</w:t>
      </w:r>
    </w:p>
    <w:p>
      <w:pPr>
        <w:spacing w:after="240" w:line="360"/>
        <w:jc w:val="both"/>
      </w:pPr>
      <w:r>
        <w:rPr>
          <w:rFonts w:ascii="Arial" w:cs="Arial" w:eastAsia="Arial" w:hAnsi="Arial"/>
          <w:sz w:val="24"/>
          <w:szCs w:val="24"/>
        </w:rPr>
        <w:t xml:space="preserve">Elementos positivos que plantean: sobre el PAE con un aumento de 74 %, 89 % de cobertura, 244 232 escolares atendidos en 2024, 218 053 familias con asistencia alimentaria en 2024, 22 337 hogares capacitados en hábitos saludables en 2025, 6515 niños, niñas y adolescentes con restablecimiento de derechos en 2024.</w:t>
      </w:r>
    </w:p>
    <w:p>
      <w:pPr>
        <w:spacing w:after="240" w:line="360"/>
        <w:jc w:val="both"/>
      </w:pPr>
      <w:r>
        <w:rPr>
          <w:rFonts w:ascii="Arial" w:cs="Arial" w:eastAsia="Arial" w:hAnsi="Arial"/>
          <w:sz w:val="24"/>
          <w:szCs w:val="24"/>
        </w:rPr>
        <w:t xml:space="preserve">Estrategias de psicoterapia: Jugar a Sanar, 420 menores en 2024 y atención a personas con discapacidad.</w:t>
      </w:r>
    </w:p>
    <w:p>
      <w:pPr>
        <w:spacing w:after="240" w:line="360"/>
        <w:jc w:val="both"/>
      </w:pPr>
      <w:r>
        <w:rPr>
          <w:rFonts w:ascii="Arial" w:cs="Arial" w:eastAsia="Arial" w:hAnsi="Arial"/>
          <w:sz w:val="24"/>
          <w:szCs w:val="24"/>
        </w:rPr>
        <w:t xml:space="preserve">Quiero resaltar algunos elementos que llaman mi atención:</w:t>
      </w:r>
    </w:p>
    <w:p>
      <w:pPr>
        <w:spacing w:after="240" w:line="360"/>
        <w:jc w:val="both"/>
      </w:pPr>
      <w:r>
        <w:rPr>
          <w:rFonts w:ascii="Arial" w:cs="Arial" w:eastAsia="Arial" w:hAnsi="Arial"/>
          <w:sz w:val="24"/>
          <w:szCs w:val="24"/>
        </w:rPr>
        <w:t xml:space="preserve">1. No se muestra una ejecución financiera exacta, cifras sueltas, 106 270 millones en 2024 y 113 591 millones en 2025.</w:t>
      </w:r>
    </w:p>
    <w:p>
      <w:pPr>
        <w:spacing w:after="240" w:line="360"/>
        <w:jc w:val="both"/>
      </w:pPr>
      <w:r>
        <w:rPr>
          <w:rFonts w:ascii="Arial" w:cs="Arial" w:eastAsia="Arial" w:hAnsi="Arial"/>
          <w:sz w:val="24"/>
          <w:szCs w:val="24"/>
        </w:rPr>
        <w:t xml:space="preserve">2. No se explica porqué baja la atención a discapacidad en 2025, de 1540 a 597 personas.</w:t>
      </w:r>
    </w:p>
    <w:p>
      <w:pPr>
        <w:spacing w:after="240" w:line="360"/>
        <w:jc w:val="both"/>
      </w:pPr>
      <w:r>
        <w:rPr>
          <w:rFonts w:ascii="Arial" w:cs="Arial" w:eastAsia="Arial" w:hAnsi="Arial"/>
          <w:sz w:val="24"/>
          <w:szCs w:val="24"/>
        </w:rPr>
        <w:t xml:space="preserve">3. No se muestran territorialización.</w:t>
      </w:r>
    </w:p>
    <w:p>
      <w:pPr>
        <w:spacing w:after="240" w:line="360"/>
        <w:jc w:val="both"/>
      </w:pPr>
      <w:r>
        <w:rPr>
          <w:rFonts w:ascii="Arial" w:cs="Arial" w:eastAsia="Arial" w:hAnsi="Arial"/>
          <w:sz w:val="24"/>
          <w:szCs w:val="24"/>
        </w:rPr>
        <w:t xml:space="preserve">4. No explican si la meta de 100 000 nuevos cupos PAE por año es financiable con el SGP, porque el SGP del PAE entonces no creció en esa proporción.</w:t>
      </w:r>
    </w:p>
    <w:p>
      <w:pPr>
        <w:spacing w:after="240" w:line="360"/>
        <w:jc w:val="both"/>
      </w:pPr>
      <w:r>
        <w:rPr>
          <w:rFonts w:ascii="Arial" w:cs="Arial" w:eastAsia="Arial" w:hAnsi="Arial"/>
          <w:sz w:val="24"/>
          <w:szCs w:val="24"/>
        </w:rPr>
        <w:t xml:space="preserve">Capacitación: 14 000 22 000 millones, suena inflada sin correlato financiero ni metodológico.</w:t>
      </w:r>
    </w:p>
    <w:p>
      <w:pPr>
        <w:spacing w:after="240" w:line="360"/>
        <w:jc w:val="both"/>
      </w:pPr>
      <w:r>
        <w:rPr>
          <w:rFonts w:ascii="Arial" w:cs="Arial" w:eastAsia="Arial" w:hAnsi="Arial"/>
          <w:sz w:val="24"/>
          <w:szCs w:val="24"/>
        </w:rPr>
        <w:t xml:space="preserve">Cultura. Un informe más ordenado y detecto algunos vacíos estratégicos.</w:t>
      </w:r>
    </w:p>
    <w:p>
      <w:pPr>
        <w:spacing w:after="240" w:line="360"/>
        <w:jc w:val="both"/>
      </w:pPr>
      <w:r>
        <w:rPr>
          <w:rFonts w:ascii="Arial" w:cs="Arial" w:eastAsia="Arial" w:hAnsi="Arial"/>
          <w:sz w:val="24"/>
          <w:szCs w:val="24"/>
        </w:rPr>
        <w:t xml:space="preserve">Quiero iniciar resaltando lo positivo. 4 430 000 usuarios de bibliotecas en 2024 – 2025; Red de Música con 28 escuelas y 8200 participantes; atención inclusiva con 432 niños con discapacidad; 533 000 actividades en dos vigencias, más de 600 000 préstamos de libros.</w:t>
      </w:r>
    </w:p>
    <w:p>
      <w:pPr>
        <w:spacing w:after="240" w:line="360"/>
        <w:jc w:val="both"/>
      </w:pPr>
      <w:r>
        <w:rPr>
          <w:rFonts w:ascii="Arial" w:cs="Arial" w:eastAsia="Arial" w:hAnsi="Arial"/>
          <w:sz w:val="24"/>
          <w:szCs w:val="24"/>
        </w:rPr>
        <w:t xml:space="preserve">Y algunos elementos que quiero resaltar, para su observación y atención, el informe confunde usos con impactos. No hay metafísica versus meta compilada; no se desagregan los 9171 millones de pesos de 2025 por línea de investigación; la cifra de 533 000 actividades en 2 años podría ser irreal, representaría más de 700 actividades diarias y no se explica cómo el SGP realmente mejora calidad educativa y cultural.</w:t>
      </w:r>
    </w:p>
    <w:p>
      <w:pPr>
        <w:spacing w:after="240" w:line="360"/>
        <w:jc w:val="both"/>
      </w:pPr>
      <w:r>
        <w:rPr>
          <w:rFonts w:ascii="Arial" w:cs="Arial" w:eastAsia="Arial" w:hAnsi="Arial"/>
          <w:sz w:val="24"/>
          <w:szCs w:val="24"/>
        </w:rPr>
        <w:t xml:space="preserve">Buen Comienzo - primera infancia, elementos positivos. 18 570 niños atendidos en 2024 en nutrición; 16 700 en 2025.</w:t>
      </w:r>
    </w:p>
    <w:p>
      <w:pPr>
        <w:spacing w:after="240" w:line="360"/>
        <w:jc w:val="both"/>
      </w:pPr>
      <w:r>
        <w:rPr>
          <w:rFonts w:ascii="Arial" w:cs="Arial" w:eastAsia="Arial" w:hAnsi="Arial"/>
          <w:sz w:val="24"/>
          <w:szCs w:val="24"/>
        </w:rPr>
        <w:t xml:space="preserve">Infraestructura: Jardín Infantil San Sebastián de Palmitas. Inversión progresiva en atención integral, 17 227 millones de pesos en 2025.</w:t>
      </w:r>
    </w:p>
    <w:p>
      <w:pPr>
        <w:spacing w:after="240" w:line="360"/>
        <w:jc w:val="both"/>
      </w:pPr>
      <w:r>
        <w:rPr>
          <w:rFonts w:ascii="Arial" w:cs="Arial" w:eastAsia="Arial" w:hAnsi="Arial"/>
          <w:sz w:val="24"/>
          <w:szCs w:val="24"/>
        </w:rPr>
        <w:t xml:space="preserve">Algunos problemas que quiero mencionar. La reducción de niños atendidos en 2025</w:t>
      </w:r>
    </w:p>
    <w:p>
      <w:pPr>
        <w:spacing w:after="240" w:line="360"/>
        <w:jc w:val="both"/>
      </w:pPr>
      <w:r>
        <w:rPr>
          <w:rFonts w:ascii="Arial" w:cs="Arial" w:eastAsia="Arial" w:hAnsi="Arial"/>
          <w:sz w:val="24"/>
          <w:szCs w:val="24"/>
        </w:rPr>
        <w:t xml:space="preserve">no se explica, es menester exponerlo en la plenaria.</w:t>
      </w:r>
    </w:p>
    <w:p>
      <w:pPr>
        <w:spacing w:after="240" w:line="360"/>
        <w:jc w:val="both"/>
      </w:pPr>
      <w:r>
        <w:rPr>
          <w:rFonts w:ascii="Arial" w:cs="Arial" w:eastAsia="Arial" w:hAnsi="Arial"/>
          <w:sz w:val="24"/>
          <w:szCs w:val="24"/>
        </w:rPr>
        <w:t xml:space="preserve">No se muestra completitud de metas de infraestructura, no se presenta trazabilidad de la cofinanciación entre SGP y recursos distritales.</w:t>
      </w:r>
    </w:p>
    <w:p>
      <w:pPr>
        <w:spacing w:after="240" w:line="360"/>
        <w:jc w:val="both"/>
      </w:pPr>
      <w:r>
        <w:rPr>
          <w:rFonts w:ascii="Arial" w:cs="Arial" w:eastAsia="Arial" w:hAnsi="Arial"/>
          <w:sz w:val="24"/>
          <w:szCs w:val="24"/>
        </w:rPr>
        <w:t xml:space="preserve">Educación. El único informe técnicamente muy bien elaborado y estratégico. Lo positivo es que reconoce que 92.5 % del SGP de educación es nómina, lo cual es verdad.</w:t>
      </w:r>
    </w:p>
    <w:p>
      <w:pPr>
        <w:spacing w:after="240" w:line="360"/>
        <w:jc w:val="both"/>
      </w:pPr>
      <w:r>
        <w:rPr>
          <w:rFonts w:ascii="Arial" w:cs="Arial" w:eastAsia="Arial" w:hAnsi="Arial"/>
          <w:sz w:val="24"/>
          <w:szCs w:val="24"/>
        </w:rPr>
        <w:t xml:space="preserve">Explica la figura de recursos sin situación de fondos que transfiere directamente a FSE. Desagrega componentes, conectividad, riesgos laborales, educación inclusiva, transporte escolar, servicios públicos.</w:t>
      </w:r>
    </w:p>
    <w:p>
      <w:pPr>
        <w:spacing w:after="240" w:line="360"/>
        <w:jc w:val="both"/>
      </w:pPr>
      <w:r>
        <w:rPr>
          <w:rFonts w:ascii="Arial" w:cs="Arial" w:eastAsia="Arial" w:hAnsi="Arial"/>
          <w:sz w:val="24"/>
          <w:szCs w:val="24"/>
        </w:rPr>
        <w:t xml:space="preserve">Da metas concretas, 43 000 estudiantes en media técnica, 8000 estudiantes con discapacidad, 30 000 cupos contratados en cobertura, 11 000 estudiantes con transporte escolar.</w:t>
      </w:r>
    </w:p>
    <w:p>
      <w:pPr>
        <w:spacing w:after="240" w:line="360"/>
        <w:jc w:val="both"/>
      </w:pPr>
      <w:r>
        <w:rPr>
          <w:rFonts w:ascii="Arial" w:cs="Arial" w:eastAsia="Arial" w:hAnsi="Arial"/>
          <w:sz w:val="24"/>
          <w:szCs w:val="24"/>
        </w:rPr>
        <w:t xml:space="preserve">Algunos elementos que quiero resaltar para su atención. No se reconoce los rezagos en infraestructura educativa, que es el principal dolor.</w:t>
      </w:r>
    </w:p>
    <w:p>
      <w:pPr>
        <w:spacing w:after="240" w:line="360"/>
        <w:jc w:val="both"/>
      </w:pPr>
      <w:r>
        <w:rPr>
          <w:rFonts w:ascii="Arial" w:cs="Arial" w:eastAsia="Arial" w:hAnsi="Arial"/>
          <w:sz w:val="24"/>
          <w:szCs w:val="24"/>
        </w:rPr>
        <w:t xml:space="preserve">Nunca hemos tenido deficiencias, «es falso», en 2024 hubo múltiples quejas en vigilancias, servicios públicos y aseo.</w:t>
      </w:r>
    </w:p>
    <w:p>
      <w:pPr>
        <w:spacing w:after="240" w:line="360"/>
        <w:jc w:val="both"/>
      </w:pPr>
      <w:r>
        <w:rPr>
          <w:rFonts w:ascii="Arial" w:cs="Arial" w:eastAsia="Arial" w:hAnsi="Arial"/>
          <w:sz w:val="24"/>
          <w:szCs w:val="24"/>
        </w:rPr>
        <w:t xml:space="preserve">No se presentó ejecución financiera detallada por subcomponente.</w:t>
      </w:r>
    </w:p>
    <w:p>
      <w:pPr>
        <w:spacing w:after="240" w:line="360"/>
        <w:jc w:val="both"/>
      </w:pPr>
      <w:r>
        <w:rPr>
          <w:rFonts w:ascii="Arial" w:cs="Arial" w:eastAsia="Arial" w:hAnsi="Arial"/>
          <w:sz w:val="24"/>
          <w:szCs w:val="24"/>
        </w:rPr>
        <w:t xml:space="preserve">En salud. Buena descripción de programas, me preocupa que no hay alertas. Y quiero mencionar lo positivo:</w:t>
      </w:r>
    </w:p>
    <w:p>
      <w:pPr>
        <w:spacing w:after="240" w:line="360"/>
        <w:jc w:val="both"/>
      </w:pPr>
      <w:r>
        <w:rPr>
          <w:rFonts w:ascii="Arial" w:cs="Arial" w:eastAsia="Arial" w:hAnsi="Arial"/>
          <w:sz w:val="24"/>
          <w:szCs w:val="24"/>
        </w:rPr>
        <w:t xml:space="preserve">Mantiene una cobertura superior igual al 100 % de aseguramiento normal por ajustes, 77 725 vacunas antirrábicas aplicadas; aplicación de 7725 vacunas regulares es baja; estudios de brote, control de vectores P y C.</w:t>
      </w:r>
    </w:p>
    <w:p>
      <w:pPr>
        <w:spacing w:after="240" w:line="360"/>
        <w:jc w:val="both"/>
      </w:pPr>
      <w:r>
        <w:rPr>
          <w:rFonts w:ascii="Arial" w:cs="Arial" w:eastAsia="Arial" w:hAnsi="Arial"/>
          <w:sz w:val="24"/>
          <w:szCs w:val="24"/>
        </w:rPr>
        <w:t xml:space="preserve">Y algunos elementos que quiero resaltar. No explican por qué el SGP Salud 2025 cayó respecto a 2024; no desglosan una ejecución real de UPC, PIC y subsidio de oferta; no cuantifican el déficit estructural del régimen subsidiado; no hablan de APS, que es el corazón del modelo y las cifras están desorganizadas, mezclan actividades y valores.</w:t>
      </w:r>
    </w:p>
    <w:p>
      <w:pPr>
        <w:spacing w:after="240" w:line="360"/>
        <w:jc w:val="both"/>
      </w:pPr>
      <w:r>
        <w:rPr>
          <w:rFonts w:ascii="Arial" w:cs="Arial" w:eastAsia="Arial" w:hAnsi="Arial"/>
          <w:sz w:val="24"/>
          <w:szCs w:val="24"/>
        </w:rPr>
        <w:t xml:space="preserve">Servicios públicos, el informe más crítico en términos de riesgo, especialmente si hablamos de las laderas de la comuna 1 – Popular, entre Granizal, Vereda Granizal y Santo Domingo Savio, pero quiero resaltar lo positivo y es, 314 693 viviendas beneficiadas en acueducto; 294 510 en alcantarillado; 262 888 en aseo; 5479 hogares hogares conectados con «Unidos por el agua» en 2024; proyectos de San Sebastián de Palmitas, San Cristóbal, Altavista y San Antonio de Prado, y 8740 millones para atender emergencias de abril, mayo de 2025.</w:t>
      </w:r>
    </w:p>
    <w:p>
      <w:pPr>
        <w:spacing w:after="240" w:line="360"/>
        <w:jc w:val="both"/>
      </w:pPr>
      <w:r>
        <w:rPr>
          <w:rFonts w:ascii="Arial" w:cs="Arial" w:eastAsia="Arial" w:hAnsi="Arial"/>
          <w:sz w:val="24"/>
          <w:szCs w:val="24"/>
        </w:rPr>
        <w:t xml:space="preserve">Algunos elementos que quiero resaltar. Toda la carga del riesgo geotécnico no se menciona; no se evalúan si las soluciones ejecutadas en 2024 - 2025 son suficientes para los corregimientos más vulnerables; la cifra de 434 000 viviendas beneficiadas con acueducto en 2025 parece inflada o repetida y no explican el retraso histórico del alcantarillado rural; tampoco se muestra una ejecución del PAC ni ejecución acumulada.</w:t>
      </w:r>
    </w:p>
    <w:p>
      <w:pPr>
        <w:spacing w:after="240" w:line="360"/>
        <w:jc w:val="both"/>
      </w:pPr>
      <w:r>
        <w:rPr>
          <w:rFonts w:ascii="Arial" w:cs="Arial" w:eastAsia="Arial" w:hAnsi="Arial"/>
          <w:sz w:val="24"/>
          <w:szCs w:val="24"/>
        </w:rPr>
        <w:t xml:space="preserve">Inder, escenarios deportivos. Lo positivo que quiero mencionar. Hay una recuperación de canchas de grama sintética como Tricentenario, Santa Fe, entre otras; hay una inversión de 22 581 millones entre 2024 y 2025.</w:t>
      </w:r>
    </w:p>
    <w:p>
      <w:pPr>
        <w:spacing w:after="240" w:line="360"/>
        <w:jc w:val="both"/>
      </w:pPr>
      <w:r>
        <w:rPr>
          <w:rFonts w:ascii="Arial" w:cs="Arial" w:eastAsia="Arial" w:hAnsi="Arial"/>
          <w:sz w:val="24"/>
          <w:szCs w:val="24"/>
        </w:rPr>
        <w:t xml:space="preserve">Y algunos problemas que quiero resaltar u observaciones y es que no se explican cómo priorizan los barrios más vulnerables; no cuantifican el déficit de escenarios y no explican el mantenimiento preventivo ni la vida útil de las obras”.</w:t>
      </w:r>
    </w:p>
    <w:p>
      <w:pPr>
        <w:spacing w:after="240" w:line="360"/>
        <w:jc w:val="both"/>
      </w:pPr>
      <w:r>
        <w:rPr>
          <w:rFonts w:ascii="Arial" w:cs="Arial" w:eastAsia="Arial" w:hAnsi="Arial"/>
          <w:sz w:val="24"/>
          <w:szCs w:val="24"/>
        </w:rPr>
        <w:t xml:space="preserve">3. 	Lectura de comunicaciones.</w:t>
      </w:r>
    </w:p>
    <w:p>
      <w:pPr>
        <w:spacing w:after="240" w:line="360"/>
        <w:jc w:val="both"/>
      </w:pPr>
      <w:r>
        <w:rPr>
          <w:rFonts w:ascii="Arial" w:cs="Arial" w:eastAsia="Arial" w:hAnsi="Arial"/>
          <w:sz w:val="24"/>
          <w:szCs w:val="24"/>
        </w:rPr>
        <w:t xml:space="preserve">El secretario General informó que no había comunicaciones objeto de lectura.</w:t>
      </w:r>
    </w:p>
    <w:p>
      <w:pPr>
        <w:spacing w:after="240" w:line="360"/>
        <w:jc w:val="both"/>
      </w:pPr>
      <w:r>
        <w:rPr>
          <w:rFonts w:ascii="Arial" w:cs="Arial" w:eastAsia="Arial" w:hAnsi="Arial"/>
          <w:sz w:val="24"/>
          <w:szCs w:val="24"/>
        </w:rPr>
        <w:t xml:space="preserve">4.	Proposiciones</w:t>
      </w:r>
    </w:p>
    <w:p>
      <w:pPr>
        <w:spacing w:after="240" w:line="360"/>
        <w:jc w:val="both"/>
      </w:pPr>
      <w:r>
        <w:rPr>
          <w:rFonts w:ascii="Arial" w:cs="Arial" w:eastAsia="Arial" w:hAnsi="Arial"/>
          <w:sz w:val="24"/>
          <w:szCs w:val="24"/>
        </w:rPr>
        <w:t xml:space="preserve">El secretario General informó que no había proposiciones radicadas.</w:t>
      </w:r>
    </w:p>
    <w:p>
      <w:pPr>
        <w:spacing w:after="240" w:line="360"/>
        <w:jc w:val="both"/>
      </w:pPr>
      <w:r>
        <w:rPr>
          <w:rFonts w:ascii="Arial" w:cs="Arial" w:eastAsia="Arial" w:hAnsi="Arial"/>
          <w:sz w:val="24"/>
          <w:szCs w:val="24"/>
        </w:rPr>
        <w:t xml:space="preserve">5.	 Asuntos varios.</w:t>
      </w:r>
    </w:p>
    <w:p>
      <w:pPr>
        <w:spacing w:after="240" w:line="360"/>
        <w:jc w:val="both"/>
      </w:pPr>
      <w:r>
        <w:rPr>
          <w:rFonts w:ascii="Arial" w:cs="Arial" w:eastAsia="Arial" w:hAnsi="Arial"/>
          <w:sz w:val="24"/>
          <w:szCs w:val="24"/>
        </w:rPr>
        <w:t xml:space="preserve">El secretario General informó que no hay asuntos varios para tratar.</w:t>
      </w:r>
    </w:p>
    <w:p>
      <w:pPr>
        <w:spacing w:after="240" w:line="360"/>
        <w:jc w:val="both"/>
      </w:pPr>
      <w:r>
        <w:rPr>
          <w:rFonts w:ascii="Arial" w:cs="Arial" w:eastAsia="Arial" w:hAnsi="Arial"/>
          <w:sz w:val="24"/>
          <w:szCs w:val="24"/>
        </w:rPr>
        <w:t xml:space="preserve">Agotado el orden del día, el presidente levantó la sesión siendo las 09:25 horas.</w:t>
      </w:r>
    </w:p>
    <w:p>
      <w:pPr>
        <w:spacing w:after="240" w:line="360"/>
        <w:jc w:val="both"/>
      </w:pPr>
      <w:r>
        <w:rPr>
          <w:rFonts w:ascii="Arial" w:cs="Arial" w:eastAsia="Arial" w:hAnsi="Arial"/>
          <w:sz w:val="24"/>
          <w:szCs w:val="24"/>
        </w:rPr>
        <w:t xml:space="preserve">CONVOCATORIA: la próxima sesión plenaria se realizará el martes 18 de noviembre de 2025 a las 08:00 horas, en el recinto oficial de sesiones del Concejo Distrital de Medellín.</w:t>
      </w:r>
    </w:p>
    <w:p>
      <w:pPr>
        <w:spacing w:before="600" w:after="300"/>
        <w:jc w:val="center"/>
      </w:pPr>
      <w:r>
        <w:rPr>
          <w:rFonts w:ascii="Arial" w:cs="Arial" w:eastAsia="Arial" w:hAnsi="Arial"/>
          <w:b/>
          <w:bCs/>
          <w:sz w:val="24"/>
          <w:szCs w:val="24"/>
        </w:rPr>
        <w:t xml:space="preserve">SEBASTIÁN LÓPEZ VALENCIA                   JUAN CAMILO ARREDONDO B</w:t>
      </w:r>
    </w:p>
    <w:p>
      <w:pPr>
        <w:spacing w:after="240" w:line="360"/>
        <w:jc w:val="both"/>
      </w:pPr>
      <w:r>
        <w:rPr>
          <w:rFonts w:ascii="Arial" w:cs="Arial" w:eastAsia="Arial" w:hAnsi="Arial"/>
          <w:sz w:val="24"/>
          <w:szCs w:val="24"/>
        </w:rPr>
        <w:t xml:space="preserve">Presidente                                                 Secretario General</w:t>
      </w:r>
    </w:p>
    <w:p>
      <w:pPr>
        <w:spacing w:after="240" w:line="360"/>
        <w:jc w:val="both"/>
      </w:pPr>
      <w:r>
        <w:rPr>
          <w:rFonts w:ascii="Arial" w:cs="Arial" w:eastAsia="Arial" w:hAnsi="Arial"/>
          <w:sz w:val="24"/>
          <w:szCs w:val="24"/>
        </w:rPr>
        <w:t xml:space="preserve">Nota:</w:t>
      </w:r>
    </w:p>
    <w:p>
      <w:pPr>
        <w:spacing w:after="240" w:line="360"/>
        <w:jc w:val="both"/>
      </w:pPr>
      <w:r>
        <w:rPr>
          <w:rFonts w:ascii="Arial" w:cs="Arial" w:eastAsia="Arial" w:hAnsi="Arial"/>
          <w:sz w:val="24"/>
          <w:szCs w:val="24"/>
        </w:rPr>
        <w:t xml:space="preserve">Si desea conocer el contenido completo de la sesión, por favor diríjase a YouTube para acceder al video o al sistema de información misional para conocer los documentos anexos del acta</w:t>
      </w:r>
    </w:p>
    <w:p>
      <w:pPr>
        <w:spacing w:after="240" w:line="360"/>
        <w:jc w:val="both"/>
      </w:pPr>
      <w:r>
        <w:rPr>
          <w:rFonts w:ascii="Arial" w:cs="Arial" w:eastAsia="Arial" w:hAnsi="Arial"/>
          <w:sz w:val="24"/>
          <w:szCs w:val="24"/>
        </w:rPr>
        <w:t xml:space="preserve">Enlace vídeo sesión plenaria: https://www.youtube.com/watch?v=17TfA7zIalc&amp;amp;t=212s.</w:t>
      </w:r>
    </w:p>
    <w:p>
      <w:pPr>
        <w:spacing w:after="240" w:line="360"/>
        <w:jc w:val="both"/>
      </w:pPr>
      <w:r>
        <w:rPr>
          <w:rFonts w:ascii="Arial" w:cs="Arial" w:eastAsia="Arial" w:hAnsi="Arial"/>
          <w:sz w:val="24"/>
          <w:szCs w:val="24"/>
        </w:rPr>
        <w:t xml:space="preserve">Para acceder al material audiovisual presentado en la sesión plenaria, visite el sitio web:</w:t>
      </w:r>
    </w:p>
    <w:p>
      <w:pPr>
        <w:spacing w:after="240" w:line="360"/>
        <w:jc w:val="both"/>
      </w:pPr>
      <w:r>
        <w:rPr>
          <w:rFonts w:ascii="Arial" w:cs="Arial" w:eastAsia="Arial" w:hAnsi="Arial"/>
          <w:sz w:val="24"/>
          <w:szCs w:val="24"/>
        </w:rPr>
        <w:t xml:space="preserve">https://simi.concejodemedellin.gov.co/simi3/invitados/plenaria/debates.xhtmlSeleccione el número de la plenaria de su interés y en la pestaña «anexos» consulte los archivos.Anexos: Registro de asistencia a sesión plenaria (1 folio)Certificado asistencia concejala Janeth Hurtado Betancur (1 folio)Invitaciones, modificaciones (35 folios)Delegación INDER. Carlos Alejandro Monsalve. Radicado 202520006053 (2 folios)Delegación secretaria Privada. José Luis Correa Henao. Radicado 202520006050 (1 folio)Delegación Alcaldía Distrital de Medellín. Luz Ángela González Gómez, directora del Departamento Administrativo de Planeación. Radicado 202520006051 (1 folio)Delegación Unidad Administrativa Especial de Buen Comienzo. Laura Victoria Gómez Naranjo. Radicado 202520005983 (1 folio)Delegación secretaria de Gestión y Control Territorial. Manuela García Gil. Radicado 20252005928 (1 folio)Respuesta Inder. Radicado 202520006011 (4 folios)Respuesta Inder. Radicado 202520006022 (4 folios)Respuesta secretaría de Cultura Ciudadana. Radicado 202520006019 (5 folios)Respuesta secretaría de Inclusión Social y Familia. Radicado 202520006044 (5 folios)Respuesta secretaria de Gestión y Control Territorial. Radicado 202520006045 (3 folios)Respuesta secretaria de Innovación Digital. Radicado 202520006046 (1 folio)Respuesta secretaria de Educación. Radicado 202520006048 (4 folios)Respuesta secretaria de Desarrollo Económico. Radicado 202520006049 (11 folios)Respuesta Unidad Administrativa Especial de Buen Comienzo. Radicado 202520006054 (4 folios)Respuesta secretaría de Hacienda. Radicado 202520006067 (9 folios)Respuesta secretaría de Paz y Derechos Humanos. Radicado 202520006065 (1 folio)Respuestas secretaría de Salud. Radicado 202520006128 (7 folios)Referencia cruzada, Memorando inasistencia por incapacidad medica concejala Paulina Suárez Roldán. Radicado 202530004387 (1 folio)Referencia cruzada, Memorando inasistencia por hospitalización medica concejala Claudia Carrasquilla Minami. Radicado 202530004426 (1 folio)Audio sesión plenaria (1 folio)Transcribió: Nora Álvarez Castro</w:t>
      </w:r>
    </w:p>
    <w:p>
      <w:pPr>
        <w:spacing w:after="240" w:line="360"/>
        <w:jc w:val="both"/>
      </w:pPr>
      <w:r>
        <w:rPr>
          <w:rFonts w:ascii="Arial" w:cs="Arial" w:eastAsia="Arial" w:hAnsi="Arial"/>
          <w:sz w:val="24"/>
          <w:szCs w:val="24"/>
        </w:rPr>
        <w:t xml:space="preserve">Sandra Milena Soto Osorio</w:t>
      </w:r>
    </w:p>
    <w:p>
      <w:pPr>
        <w:spacing w:after="240" w:line="360"/>
        <w:jc w:val="both"/>
      </w:pPr>
      <w:r>
        <w:rPr>
          <w:rFonts w:ascii="Arial" w:cs="Arial" w:eastAsia="Arial" w:hAnsi="Arial"/>
          <w:sz w:val="24"/>
          <w:szCs w:val="24"/>
        </w:rPr>
        <w:t xml:space="preserve">Revisó:        Ruth Tatiana Navarro Agredo</w:t>
      </w:r>
    </w:p>
    <w:sectPr>
      <w:headerReference w:type="default" r:id="rId6"/>
      <w:footerReference w:type="default" r:id="rId7"/>
      <w:pgSz w:w="11906" w:h="16838" w:orient="portrait"/>
      <w:pgMar w:top="1440" w:right="1440" w:bottom="1440" w:left="170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rPr>
        <w:sz w:val="18"/>
        <w:szCs w:val="18"/>
      </w:rPr>
      <w:t xml:space="preserve">Página </w:t>
    </w:r>
    <w:r>
      <w:rPr>
        <w:sz w:val="18"/>
        <w:szCs w:val="18"/>
      </w:rPr>
      <w:fldChar w:fldCharType="begin"/>
      <w:instrText xml:space="preserve">PAGE</w:instrText>
      <w:fldChar w:fldCharType="separate"/>
      <w:fldChar w:fldCharType="end"/>
    </w:r>
    <w:r>
      <w:rPr>
        <w:sz w:val="18"/>
        <w:szCs w:val="18"/>
      </w:rPr>
      <w:t xml:space="preserve"> de </w:t>
    </w:r>
    <w:r>
      <w:rPr>
        <w:sz w:val="18"/>
        <w:szCs w:val="18"/>
      </w:rPr>
      <w:fldChar w:fldCharType="begin"/>
      <w:instrText xml:space="preserve">NUMPAGES</w:instrText>
      <w:fldChar w:fldCharType="separat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cid="http://schemas.microsoft.com/office/word/2016/wordml/cid" xmlns:w16se="http://schemas.microsoft.com/office/word/2015/wordml/symex">
  <w:p>
    <w:pPr>
      <w:jc w:val="center"/>
    </w:pPr>
    <w:r>
      <w:rPr>
        <w:b/>
        <w:bCs/>
        <w:sz w:val="16"/>
        <w:szCs w:val="16"/>
      </w:rPr>
      <w:t xml:space="preserve">CONCEJO DE MEDELLÍN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b6843984a0253c3fc305fa28b1911ed2fb2979be.undefined"/><Relationship Id="rId9" Type="http://schemas.openxmlformats.org/officeDocument/2006/relationships/image" Target="media/675fe48ee15858260ffebe6525670c64619eeb5f.undefined"/><Relationship Id="rId10" Type="http://schemas.openxmlformats.org/officeDocument/2006/relationships/image" Target="media/2545ccdb50e9bdcde8f5c5450c54b2cd0bb46778.undefined"/><Relationship Id="rId11" Type="http://schemas.openxmlformats.org/officeDocument/2006/relationships/image" Target="media/bf6ee7b097b9181b56c2bd96db2d3b01ea2a5125.undefined"/><Relationship Id="rId12" Type="http://schemas.openxmlformats.org/officeDocument/2006/relationships/image" Target="media/453bb5fa8dec45198c5917561b9aa556686ca668.undefined"/><Relationship Id="rId13" Type="http://schemas.openxmlformats.org/officeDocument/2006/relationships/image" Target="media/c4ace799bf084a9bd7e656920e875de375249447.undefined"/><Relationship Id="rId14" Type="http://schemas.openxmlformats.org/officeDocument/2006/relationships/image" Target="media/6cb7ff059708c613264cf3b7ee22b0f251648346.undefined"/><Relationship Id="rId15" Type="http://schemas.openxmlformats.org/officeDocument/2006/relationships/image" Target="media/5acbdf24e7de29a36e9a8e37b9c836342b64bbfd.undefined"/><Relationship Id="rId16" Type="http://schemas.openxmlformats.org/officeDocument/2006/relationships/image" Target="media/54f48d60a914988e12229ccc10020af413a7b0f0.undefined"/><Relationship Id="rId17" Type="http://schemas.openxmlformats.org/officeDocument/2006/relationships/image" Target="media/a93ff5047d3aad8f641a1be26aa4f984b1dfa075.undefined"/><Relationship Id="rId18" Type="http://schemas.openxmlformats.org/officeDocument/2006/relationships/image" Target="media/6c4ee265348afa11186863057e308f32efb178ea.undefined"/><Relationship Id="rId19" Type="http://schemas.openxmlformats.org/officeDocument/2006/relationships/image" Target="media/c0a5775815d3e237fd96c06ab1c341bdc52b97bb.undefined"/><Relationship Id="rId20" Type="http://schemas.openxmlformats.org/officeDocument/2006/relationships/image" Target="media/9af72c1572f0b643a52464715f4039264f8200fe.undefined"/><Relationship Id="rId21" Type="http://schemas.openxmlformats.org/officeDocument/2006/relationships/image" Target="media/323c74a81ba66bac7420bffb044e9d485d83db90.undefined"/><Relationship Id="rId22" Type="http://schemas.openxmlformats.org/officeDocument/2006/relationships/image" Target="media/e336b399729bf4dd2633208ef8924b06bfcef4a9.undefined"/><Relationship Id="rId23" Type="http://schemas.openxmlformats.org/officeDocument/2006/relationships/image" Target="media/795c2dd41f33519f086c57448dfe9f619461aeed.undefined"/><Relationship Id="rId24" Type="http://schemas.openxmlformats.org/officeDocument/2006/relationships/image" Target="media/f71e7dc8f4032ee5186cd43b8defe17fb66eede2.undefined"/><Relationship Id="rId25" Type="http://schemas.openxmlformats.org/officeDocument/2006/relationships/image" Target="media/d8b3be8ca3c698bd60f31b40c461b85dd2457e90.undefined"/><Relationship Id="rId26" Type="http://schemas.openxmlformats.org/officeDocument/2006/relationships/image" Target="media/37968fa4f2aef93a6d08af9f67641f8b38d7dd59.undefined"/><Relationship Id="rId27" Type="http://schemas.openxmlformats.org/officeDocument/2006/relationships/image" Target="media/f840e818f1bbf5530d1764635224bd1d8b6ebd99.undefined"/><Relationship Id="rId28" Type="http://schemas.openxmlformats.org/officeDocument/2006/relationships/fontTable" Target="fontTable.xml"/></Relationships>
</file>

<file path=word/_rels/fontTable.xml.rels><?xml version="1.0" encoding="UTF-8"?><Relationships xmlns="http://schemas.openxmlformats.org/package/2006/relationships"/>
</file>

<file path=word/_rels/footer1.xml.rels><?xml version="1.0" encoding="UTF-8"?><Relationships xmlns="http://schemas.openxmlformats.org/package/2006/relationships"/>
</file>

<file path=word/_rels/footnotes.xml.rels><?xml version="1.0" encoding="UTF-8"?><Relationships xmlns="http://schemas.openxmlformats.org/package/2006/relationships"/>
</file>

<file path=word/_rels/header1.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2026-02-02T19:47:39.107Z</dcterms:created>
  <dcterms:modified xsi:type="dcterms:W3CDTF">2026-02-02T19:47:39.107Z</dcterms:modified>
</cp:coreProperties>
</file>

<file path=docProps/custom.xml><?xml version="1.0" encoding="utf-8"?>
<Properties xmlns="http://schemas.openxmlformats.org/officeDocument/2006/custom-properties" xmlns:vt="http://schemas.openxmlformats.org/officeDocument/2006/docPropsVTypes"/>
</file>